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jc w:val="center"/>
        <w:rPr>
          <w:rFonts w:ascii="Times New Roman" w:hAnsi="Times New Roman" w:cs="Times New Roman"/>
          <w:color w:val="auto"/>
          <w:sz w:val="24"/>
          <w:szCs w:val="24"/>
        </w:rPr>
      </w:pPr>
      <w:r>
        <w:rPr>
          <w:rFonts w:cs="Times New Roman" w:ascii="Times New Roman" w:hAnsi="Times New Roman"/>
          <w:color w:val="auto"/>
          <w:sz w:val="24"/>
          <w:szCs w:val="24"/>
        </w:rPr>
        <w:t>ПАСПОРТ УСЛУГИ (ПРОЦЕССА) АО "АЭС"</w:t>
      </w:r>
    </w:p>
    <w:p>
      <w:pPr>
        <w:pStyle w:val="Heading1"/>
        <w:spacing w:before="0" w:after="0"/>
        <w:jc w:val="center"/>
        <w:rPr>
          <w:rFonts w:ascii="Times New Roman" w:hAnsi="Times New Roman" w:cs="Times New Roman"/>
          <w:b w:val="false"/>
          <w:color w:themeColor="text2" w:themeTint="99" w:val="548DD4"/>
          <w:sz w:val="24"/>
          <w:szCs w:val="24"/>
        </w:rPr>
      </w:pPr>
      <w:r>
        <w:rPr>
          <w:rFonts w:cs="Times New Roman" w:ascii="Times New Roman" w:hAnsi="Times New Roman"/>
          <w:b w:val="false"/>
          <w:color w:themeColor="text2" w:themeTint="99" w:val="548DD4"/>
          <w:sz w:val="24"/>
          <w:szCs w:val="24"/>
        </w:rPr>
      </w:r>
    </w:p>
    <w:p>
      <w:pPr>
        <w:pStyle w:val="Normal"/>
        <w:spacing w:lineRule="auto" w:line="240" w:before="0" w:after="0"/>
        <w:jc w:val="center"/>
        <w:rPr>
          <w:rFonts w:ascii="Times New Roman" w:hAnsi="Times New Roman" w:cs="Times New Roman"/>
          <w:b/>
          <w:color w:themeColor="text2" w:themeTint="99" w:val="548DD4"/>
          <w:sz w:val="24"/>
          <w:szCs w:val="24"/>
        </w:rPr>
      </w:pPr>
      <w:r>
        <w:rPr>
          <w:rFonts w:cs="Times New Roman" w:ascii="Times New Roman" w:hAnsi="Times New Roman"/>
          <w:b/>
          <w:color w:themeColor="text2" w:themeTint="99" w:val="548DD4"/>
          <w:sz w:val="24"/>
          <w:szCs w:val="24"/>
        </w:rPr>
        <w:t>ТЕХНОЛОГИЧЕСКОЕ ПРИСОЕДИНЕНИЕ К ЭЛЕКТРИЧЕСКИМ СЕТЯМ СЕТЕВОЙ ОРГАНИЗАЦИИ</w:t>
      </w:r>
    </w:p>
    <w:p>
      <w:pPr>
        <w:pStyle w:val="Normal"/>
        <w:spacing w:lineRule="auto" w:line="240" w:before="0" w:after="0"/>
        <w:jc w:val="center"/>
        <w:rPr>
          <w:rFonts w:ascii="Times New Roman" w:hAnsi="Times New Roman" w:cs="Times New Roman"/>
          <w:b/>
          <w:color w:themeColor="text2" w:themeTint="99" w:val="548DD4"/>
          <w:sz w:val="24"/>
          <w:szCs w:val="24"/>
        </w:rPr>
      </w:pPr>
      <w:r>
        <w:rPr>
          <w:rFonts w:cs="Times New Roman" w:ascii="Times New Roman" w:hAnsi="Times New Roman"/>
          <w:b/>
          <w:color w:themeColor="text2" w:themeTint="99" w:val="548DD4"/>
          <w:sz w:val="24"/>
          <w:szCs w:val="24"/>
        </w:rPr>
        <w:t>ПО ИНДИВИДУАЛЬНОМУ ПРОЕКТУ</w:t>
        <w:br/>
      </w:r>
    </w:p>
    <w:p>
      <w:pPr>
        <w:pStyle w:val="Normal"/>
        <w:spacing w:lineRule="auto" w:line="240" w:before="0" w:after="0"/>
        <w:jc w:val="both"/>
        <w:rPr>
          <w:rFonts w:ascii="Times New Roman" w:hAnsi="Times New Roman" w:cs="Times New Roman"/>
        </w:rPr>
      </w:pPr>
      <w:r>
        <w:rPr>
          <w:rFonts w:cs="Times New Roman" w:ascii="Times New Roman" w:hAnsi="Times New Roman"/>
          <w:b/>
          <w:color w:themeColor="text2" w:themeTint="99" w:val="548DD4"/>
          <w:sz w:val="24"/>
          <w:szCs w:val="24"/>
        </w:rPr>
        <w:t xml:space="preserve">КРУГ ЗАЯВИТЕЛЕЙ: </w:t>
      </w:r>
      <w:r>
        <w:rPr>
          <w:rFonts w:cs="Times New Roman" w:ascii="Times New Roman" w:hAnsi="Times New Roman"/>
          <w:sz w:val="24"/>
          <w:szCs w:val="24"/>
        </w:rPr>
        <w:t>физическое лицо, юридическое лицо или индивидуальный предприниматель за исключением лиц, указанных в пунктах 12.1 и 14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 Правил технологического присоединения энергопринимающих устройств потребителей электрической энергии</w:t>
      </w:r>
      <w:r>
        <w:rPr>
          <w:rStyle w:val="FootnoteReference"/>
          <w:rFonts w:cs="Times New Roman" w:ascii="Times New Roman" w:hAnsi="Times New Roman"/>
          <w:sz w:val="24"/>
          <w:szCs w:val="24"/>
        </w:rPr>
        <w:footnoteReference w:id="2"/>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color w:themeColor="text2" w:themeTint="99" w:val="548DD4"/>
          <w:sz w:val="24"/>
          <w:szCs w:val="24"/>
        </w:rPr>
        <w:t xml:space="preserve">РАЗМЕР ПЛАТЫ ЗА ПРЕДОСТАВЛЕНИЕ УСЛУГИ (ПРОЦЕССА) И ОСНОВАНИЕ ЕЕ ВЗИМАНИЯ: </w:t>
      </w:r>
      <w:r>
        <w:rPr>
          <w:rFonts w:cs="Times New Roman" w:ascii="Times New Roman" w:hAnsi="Times New Roman"/>
          <w:sz w:val="24"/>
          <w:szCs w:val="24"/>
        </w:rPr>
        <w:t>Плата за технологическое присоединение энергопринимающих устройств по индивидуальному проекту утверждается уполномоченным органом исполнительной власти в области государственного регулирования тарифов субъекта РФ.</w:t>
      </w:r>
    </w:p>
    <w:p>
      <w:pPr>
        <w:pStyle w:val="Normal"/>
        <w:spacing w:lineRule="auto" w:line="240" w:before="0" w:after="0"/>
        <w:jc w:val="both"/>
        <w:rPr>
          <w:rFonts w:ascii="Times New Roman" w:hAnsi="Times New Roman" w:cs="Times New Roman"/>
          <w:b/>
          <w:color w:themeColor="text2" w:themeTint="99" w:val="548DD4"/>
          <w:sz w:val="24"/>
          <w:szCs w:val="24"/>
        </w:rPr>
      </w:pPr>
      <w:r>
        <w:rPr>
          <w:rFonts w:cs="Times New Roman" w:ascii="Times New Roman" w:hAnsi="Times New Roman"/>
          <w:b/>
          <w:color w:themeColor="text2" w:themeTint="99" w:val="548DD4"/>
          <w:sz w:val="24"/>
          <w:szCs w:val="24"/>
        </w:rPr>
      </w:r>
    </w:p>
    <w:p>
      <w:pPr>
        <w:pStyle w:val="Normal"/>
        <w:spacing w:lineRule="auto" w:line="240" w:before="0" w:after="0"/>
        <w:jc w:val="both"/>
        <w:rPr>
          <w:rFonts w:ascii="Times New Roman" w:hAnsi="Times New Roman" w:cs="Times New Roman"/>
          <w:b/>
          <w:color w:themeColor="text2" w:themeTint="99" w:val="548DD4"/>
          <w:sz w:val="24"/>
          <w:szCs w:val="24"/>
        </w:rPr>
      </w:pPr>
      <w:r>
        <w:rPr>
          <w:rFonts w:cs="Times New Roman" w:ascii="Times New Roman" w:hAnsi="Times New Roman"/>
          <w:b/>
          <w:color w:themeColor="text2" w:themeTint="99" w:val="548DD4"/>
          <w:sz w:val="24"/>
          <w:szCs w:val="24"/>
        </w:rPr>
        <w:t>УСЛОВИЯ ОКАЗАНИЯ УСЛУГИ (ПРОЦЕССА):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b/>
          <w:color w:themeColor="text2" w:themeTint="99" w:val="548DD4"/>
          <w:sz w:val="24"/>
          <w:szCs w:val="24"/>
        </w:rPr>
        <w:t>1.</w:t>
      </w:r>
      <w:r>
        <w:rPr>
          <w:rFonts w:cs="Times New Roman" w:ascii="Times New Roman" w:hAnsi="Times New Roman"/>
          <w:sz w:val="24"/>
          <w:szCs w:val="24"/>
        </w:rPr>
        <w:t> Отсутствие технической возможности технологического присоединения энергопринимающих устройств заявителя и  необходимость строительства (реконструкции) объекта электросетевого хозяйства, не включенного в инвестиционные программы на очередной период регулирования сетевой организации.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b/>
          <w:color w:themeColor="text2" w:themeTint="99" w:val="548DD4"/>
          <w:sz w:val="24"/>
          <w:szCs w:val="24"/>
        </w:rPr>
        <w:t xml:space="preserve">2. </w:t>
      </w:r>
      <w:r>
        <w:rPr>
          <w:rFonts w:cs="Times New Roman" w:ascii="Times New Roman" w:hAnsi="Times New Roman"/>
          <w:sz w:val="24"/>
          <w:szCs w:val="24"/>
        </w:rPr>
        <w:t>Если присоединение энергопринимающих устройств требует строительства (реконструкции) объекта электросетевого хозяйства, не включенного в указанные в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w:t>
      </w:r>
      <w:bookmarkStart w:id="0" w:name="_GoBack"/>
      <w:bookmarkEnd w:id="0"/>
    </w:p>
    <w:p>
      <w:pPr>
        <w:pStyle w:val="Normal"/>
        <w:spacing w:lineRule="auto" w:line="240" w:before="0" w:after="0"/>
        <w:ind w:firstLine="709"/>
        <w:jc w:val="both"/>
        <w:rPr>
          <w:rFonts w:ascii="Times New Roman" w:hAnsi="Times New Roman" w:cs="Times New Roman"/>
          <w:b/>
          <w:color w:themeColor="text2" w:themeTint="99" w:val="548DD4"/>
          <w:sz w:val="24"/>
          <w:szCs w:val="24"/>
        </w:rPr>
      </w:pPr>
      <w:r>
        <w:rPr>
          <w:rFonts w:cs="Times New Roman" w:ascii="Times New Roman" w:hAnsi="Times New Roman"/>
          <w:b/>
          <w:color w:themeColor="text2" w:themeTint="99" w:val="548DD4"/>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color w:themeColor="text2" w:themeTint="99" w:val="548DD4"/>
          <w:sz w:val="24"/>
          <w:szCs w:val="24"/>
        </w:rPr>
        <w:t>РЕЗУЛЬТАТ ОКАЗАНИЯ УСЛУГИ (ПРОЦЕССА):</w:t>
      </w:r>
      <w:r>
        <w:rPr>
          <w:rFonts w:cs="Times New Roman" w:ascii="Times New Roman" w:hAnsi="Times New Roman"/>
          <w:sz w:val="24"/>
          <w:szCs w:val="24"/>
        </w:rPr>
        <w:t xml:space="preserve"> технологическое присоединение энергопринимающих устройств  заявителя с подачей напряжения и выдачей  акта технологического присоединения.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b/>
          <w:color w:themeColor="text2" w:themeTint="99" w:val="548DD4"/>
          <w:sz w:val="24"/>
          <w:szCs w:val="24"/>
        </w:rPr>
      </w:pPr>
      <w:r>
        <w:rPr>
          <w:rFonts w:cs="Times New Roman" w:ascii="Times New Roman" w:hAnsi="Times New Roman"/>
          <w:b/>
          <w:color w:themeColor="text2" w:themeTint="99" w:val="548DD4"/>
          <w:sz w:val="24"/>
          <w:szCs w:val="24"/>
        </w:rPr>
        <w:t xml:space="preserve">ОБЩИЙ СРОК ОКАЗАНИЯ УСЛУГИ (ПРОЦЕССА): </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b/>
          <w:sz w:val="24"/>
          <w:szCs w:val="24"/>
        </w:rPr>
        <w:t xml:space="preserve">1 год с даты заключения </w:t>
      </w:r>
      <w:r>
        <w:rPr>
          <w:rFonts w:cs="Times New Roman" w:ascii="Times New Roman" w:hAnsi="Times New Roman"/>
          <w:sz w:val="24"/>
          <w:szCs w:val="24"/>
        </w:rPr>
        <w:t>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b/>
          <w:sz w:val="24"/>
          <w:szCs w:val="24"/>
        </w:rPr>
        <w:t>2 года с даты заключения</w:t>
      </w:r>
      <w:r>
        <w:rPr>
          <w:rFonts w:cs="Times New Roman" w:ascii="Times New Roman" w:hAnsi="Times New Roman"/>
          <w:sz w:val="24"/>
          <w:szCs w:val="24"/>
        </w:rPr>
        <w:t xml:space="preserve"> договора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60"/>
        <w:jc w:val="both"/>
        <w:outlineLvl w:val="0"/>
        <w:rPr>
          <w:rFonts w:ascii="Times New Roman" w:hAnsi="Times New Roman" w:cs="Times New Roman"/>
          <w:b/>
          <w:color w:themeColor="text2" w:themeTint="99" w:val="548DD4"/>
          <w:sz w:val="24"/>
          <w:szCs w:val="24"/>
        </w:rPr>
      </w:pPr>
      <w:r>
        <w:rPr>
          <w:rFonts w:cs="Times New Roman" w:ascii="Times New Roman" w:hAnsi="Times New Roman"/>
          <w:b/>
          <w:color w:themeColor="text2" w:themeTint="99" w:val="548DD4"/>
          <w:sz w:val="24"/>
          <w:szCs w:val="24"/>
        </w:rPr>
        <w:t>СОСТАВ, ПОСЛЕДОВАТЕЛЬНОСТЬ И СРОКИ ОКАЗАНИЯ УСЛУГИ (ПРОЦЕССА):</w:t>
      </w:r>
    </w:p>
    <w:tbl>
      <w:tblPr>
        <w:tblStyle w:val="-110"/>
        <w:tblW w:w="4900" w:type="pct"/>
        <w:jc w:val="left"/>
        <w:tblInd w:w="221" w:type="dxa"/>
        <w:tblLayout w:type="fixed"/>
        <w:tblCellMar>
          <w:top w:w="0" w:type="dxa"/>
          <w:left w:w="108" w:type="dxa"/>
          <w:bottom w:w="0" w:type="dxa"/>
          <w:right w:w="108" w:type="dxa"/>
        </w:tblCellMar>
        <w:tblLook w:val="00a0"/>
      </w:tblPr>
      <w:tblGrid>
        <w:gridCol w:w="467"/>
        <w:gridCol w:w="2167"/>
        <w:gridCol w:w="2078"/>
        <w:gridCol w:w="2630"/>
        <w:gridCol w:w="2212"/>
        <w:gridCol w:w="1724"/>
        <w:gridCol w:w="2722"/>
      </w:tblGrid>
      <w:tr>
        <w:trPr>
          <w:tblHeader w:val="true"/>
          <w:cnfStyle w:val="100000000000"/>
        </w:trPr>
        <w:tc>
          <w:tcPr>
            <w:tcW w:w="467" w:type="dxa"/>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sz w:val="20"/>
                <w:szCs w:val="20"/>
                <w:lang w:eastAsia="ru-RU"/>
              </w:rPr>
            </w:pPr>
            <w:r>
              <w:rPr>
                <w:rFonts w:eastAsia="Times New Roman" w:cs="Times New Roman" w:ascii="Times New Roman" w:hAnsi="Times New Roman"/>
                <w:b/>
                <w:bCs/>
                <w:color w:val="auto"/>
                <w:kern w:val="0"/>
                <w:sz w:val="20"/>
                <w:szCs w:val="20"/>
                <w:lang w:val="ru-RU" w:eastAsia="ru-RU" w:bidi="ar-SA"/>
              </w:rPr>
              <w:t>№</w:t>
            </w:r>
          </w:p>
        </w:tc>
        <w:tc>
          <w:tcPr>
            <w:tcW w:w="2167" w:type="dxa"/>
            <w:cnfStyle w:val="000010000000"/>
            <w:tcBorders>
              <w:top w:val="single" w:sz="4" w:space="0" w:color="000000"/>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sz w:val="20"/>
                <w:szCs w:val="20"/>
                <w:lang w:eastAsia="ru-RU"/>
              </w:rPr>
            </w:pPr>
            <w:r>
              <w:rPr>
                <w:rFonts w:eastAsia="Times New Roman" w:cs="Times New Roman" w:ascii="Times New Roman" w:hAnsi="Times New Roman"/>
                <w:b/>
                <w:bCs/>
                <w:color w:val="auto"/>
                <w:kern w:val="0"/>
                <w:sz w:val="20"/>
                <w:szCs w:val="20"/>
                <w:lang w:val="ru-RU" w:eastAsia="ru-RU" w:bidi="ar-SA"/>
              </w:rPr>
              <w:t>Этап</w:t>
            </w:r>
          </w:p>
        </w:tc>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100000000000"/>
              <w:rPr>
                <w:rFonts w:ascii="Times New Roman" w:hAnsi="Times New Roman" w:eastAsia="Times New Roman" w:cs="Times New Roman"/>
                <w:color w:val="auto"/>
                <w:sz w:val="20"/>
                <w:szCs w:val="20"/>
                <w:lang w:eastAsia="ru-RU"/>
              </w:rPr>
            </w:pPr>
            <w:r>
              <w:rPr>
                <w:rFonts w:eastAsia="Times New Roman" w:cs="Times New Roman" w:ascii="Times New Roman" w:hAnsi="Times New Roman"/>
                <w:b/>
                <w:bCs/>
                <w:color w:val="auto"/>
                <w:kern w:val="0"/>
                <w:sz w:val="20"/>
                <w:szCs w:val="20"/>
                <w:lang w:val="ru-RU" w:eastAsia="ru-RU" w:bidi="ar-SA"/>
              </w:rPr>
              <w:t>Условие этапа</w:t>
            </w:r>
          </w:p>
        </w:tc>
        <w:tc>
          <w:tcPr>
            <w:tcW w:w="2630" w:type="dxa"/>
            <w:cnfStyle w:val="000010000000"/>
            <w:tcBorders>
              <w:top w:val="single" w:sz="4" w:space="0" w:color="000000"/>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sz w:val="20"/>
                <w:szCs w:val="20"/>
                <w:lang w:eastAsia="ru-RU"/>
              </w:rPr>
            </w:pPr>
            <w:r>
              <w:rPr>
                <w:rFonts w:eastAsia="Times New Roman" w:cs="Times New Roman" w:ascii="Times New Roman" w:hAnsi="Times New Roman"/>
                <w:b/>
                <w:bCs/>
                <w:color w:val="auto"/>
                <w:kern w:val="0"/>
                <w:sz w:val="20"/>
                <w:szCs w:val="20"/>
                <w:lang w:val="ru-RU" w:eastAsia="ru-RU" w:bidi="ar-SA"/>
              </w:rPr>
              <w:t>Содержание</w:t>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100000000000"/>
              <w:rPr>
                <w:rFonts w:ascii="Times New Roman" w:hAnsi="Times New Roman" w:eastAsia="Times New Roman" w:cs="Times New Roman"/>
                <w:color w:val="auto"/>
                <w:sz w:val="20"/>
                <w:szCs w:val="20"/>
                <w:lang w:eastAsia="ru-RU"/>
              </w:rPr>
            </w:pPr>
            <w:r>
              <w:rPr>
                <w:rFonts w:eastAsia="Times New Roman" w:cs="Times New Roman" w:ascii="Times New Roman" w:hAnsi="Times New Roman"/>
                <w:b/>
                <w:bCs/>
                <w:color w:val="auto"/>
                <w:kern w:val="0"/>
                <w:sz w:val="20"/>
                <w:szCs w:val="20"/>
                <w:lang w:val="ru-RU" w:eastAsia="ru-RU" w:bidi="ar-SA"/>
              </w:rPr>
              <w:t>Форма предоставления</w:t>
            </w:r>
          </w:p>
        </w:tc>
        <w:tc>
          <w:tcPr>
            <w:tcW w:w="1724" w:type="dxa"/>
            <w:cnfStyle w:val="000010000000"/>
            <w:tcBorders>
              <w:top w:val="single" w:sz="4" w:space="0" w:color="000000"/>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color w:val="auto"/>
                <w:sz w:val="20"/>
                <w:szCs w:val="20"/>
                <w:lang w:eastAsia="ru-RU"/>
              </w:rPr>
            </w:pPr>
            <w:r>
              <w:rPr>
                <w:rFonts w:eastAsia="Times New Roman" w:cs="Times New Roman" w:ascii="Times New Roman" w:hAnsi="Times New Roman"/>
                <w:b/>
                <w:bCs/>
                <w:color w:val="auto"/>
                <w:kern w:val="0"/>
                <w:sz w:val="20"/>
                <w:szCs w:val="20"/>
                <w:lang w:val="ru-RU" w:eastAsia="ru-RU" w:bidi="ar-SA"/>
              </w:rPr>
              <w:t>Срок исполнения</w:t>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100000000000"/>
              <w:rPr>
                <w:rFonts w:ascii="Times New Roman" w:hAnsi="Times New Roman" w:eastAsia="Times New Roman" w:cs="Times New Roman"/>
                <w:color w:val="auto"/>
                <w:sz w:val="20"/>
                <w:szCs w:val="20"/>
                <w:lang w:eastAsia="ru-RU"/>
              </w:rPr>
            </w:pPr>
            <w:r>
              <w:rPr>
                <w:rFonts w:eastAsia="Times New Roman" w:cs="Times New Roman" w:ascii="Times New Roman" w:hAnsi="Times New Roman"/>
                <w:b/>
                <w:bCs/>
                <w:color w:val="auto"/>
                <w:kern w:val="0"/>
                <w:sz w:val="20"/>
                <w:szCs w:val="20"/>
                <w:lang w:val="ru-RU" w:eastAsia="ru-RU" w:bidi="ar-SA"/>
              </w:rPr>
              <w:t>Ссылка на нормативно правовой акт</w:t>
            </w:r>
          </w:p>
        </w:tc>
      </w:tr>
      <w:tr>
        <w:trPr>
          <w:cnfStyle w:val="000000100000"/>
        </w:trPr>
        <w:tc>
          <w:tcPr>
            <w:tcW w:w="467" w:type="dxa"/>
            <w:vMerge w:val="restart"/>
            <w:cnfStyle w:val="001000000000"/>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t>1</w:t>
            </w:r>
          </w:p>
        </w:tc>
        <w:tc>
          <w:tcPr>
            <w:tcW w:w="2167" w:type="dxa"/>
            <w:vMerge w:val="restart"/>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Подача заявки на технологическое присоединение</w:t>
            </w:r>
          </w:p>
        </w:tc>
        <w:tc>
          <w:tcPr>
            <w:tcW w:w="2078" w:type="dxa"/>
            <w:tcBorders>
              <w:top w:val="single" w:sz="4" w:space="0" w:color="000000"/>
              <w:bottom w:val="single" w:sz="4" w:space="0" w:color="000000"/>
            </w:tcBorders>
            <w:shd w:color="auto" w:fill="auto" w:val="clear"/>
            <w:vAlign w:val="center"/>
          </w:tcPr>
          <w:p>
            <w:pPr>
              <w:pStyle w:val="Normal"/>
              <w:widowControl/>
              <w:spacing w:lineRule="auto" w:line="240" w:before="0" w:after="6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t>1.1.</w:t>
            </w:r>
            <w:r>
              <w:rPr>
                <w:rFonts w:eastAsia="Times New Roman" w:cs="Times New Roman" w:ascii="Times New Roman" w:hAnsi="Times New Roman"/>
                <w:kern w:val="0"/>
                <w:sz w:val="20"/>
                <w:szCs w:val="20"/>
                <w:lang w:val="ru-RU" w:eastAsia="ru-RU" w:bidi="ar-SA"/>
              </w:rPr>
              <w:t> Заявитель подает заявку на технологическое присоединение;</w:t>
            </w:r>
          </w:p>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212" w:type="dxa"/>
            <w:tcBorders>
              <w:top w:val="single" w:sz="4" w:space="0" w:color="000000"/>
              <w:bottom w:val="single" w:sz="4" w:space="0" w:color="000000"/>
            </w:tcBorders>
            <w:shd w:color="auto" w:fill="auto" w:val="clear"/>
            <w:vAlign w:val="center"/>
          </w:tcPr>
          <w:p>
            <w:pPr>
              <w:pStyle w:val="ListParagraph"/>
              <w:widowControl/>
              <w:spacing w:lineRule="auto" w:line="240" w:before="0" w:after="0"/>
              <w:ind w:left="34"/>
              <w:contextualSpacing/>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Очное обращение заявителя с заявкой в офис обслуживания потребителей,</w:t>
            </w:r>
          </w:p>
          <w:p>
            <w:pPr>
              <w:pStyle w:val="ListParagraph"/>
              <w:widowControl/>
              <w:spacing w:lineRule="auto" w:line="240" w:before="0" w:after="0"/>
              <w:ind w:left="34"/>
              <w:contextualSpacing/>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письменное обращение с заявкой заказным письмом с уведомлением.</w:t>
            </w:r>
          </w:p>
          <w:p>
            <w:pPr>
              <w:pStyle w:val="ListParagraph"/>
              <w:widowControl/>
              <w:spacing w:lineRule="auto" w:line="240" w:before="0" w:after="0"/>
              <w:ind w:left="34"/>
              <w:contextualSpacing/>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Не ограничен</w:t>
            </w:r>
          </w:p>
        </w:tc>
        <w:tc>
          <w:tcPr>
            <w:tcW w:w="272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п.  8, 9, 10 «Правил ТП…».</w:t>
            </w:r>
          </w:p>
        </w:tc>
      </w:tr>
      <w:tr>
        <w:trPr>
          <w:trHeight w:val="86" w:hRule="atLeast"/>
        </w:trPr>
        <w:tc>
          <w:tcPr>
            <w:tcW w:w="467" w:type="dxa"/>
            <w:vMerge w:val="continue"/>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При отсутствии сведений и документов,  установленных законодательством</w:t>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t>1.2</w:t>
            </w:r>
            <w:r>
              <w:rPr>
                <w:rFonts w:eastAsia="Times New Roman" w:cs="Times New Roman" w:ascii="Times New Roman" w:hAnsi="Times New Roman"/>
                <w:kern w:val="0"/>
                <w:sz w:val="20"/>
                <w:szCs w:val="20"/>
                <w:lang w:val="ru-RU" w:eastAsia="ru-RU" w:bidi="ar-SA"/>
              </w:rPr>
              <w:t>. Сетевая организация направляет уведомление заявителю о недостающих сведениях и/или документах к заявке</w:t>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В письменной форме</w:t>
            </w:r>
            <w:r>
              <w:rPr>
                <w:rFonts w:eastAsia="Times New Roman" w:cs="Times New Roman" w:ascii="Times New Roman" w:hAnsi="Times New Roman"/>
                <w:kern w:val="0"/>
                <w:sz w:val="20"/>
                <w:szCs w:val="20"/>
                <w:lang w:val="ru-RU" w:eastAsia="ru-RU" w:bidi="ar-SA"/>
              </w:rPr>
              <w:t xml:space="preserve"> </w:t>
            </w:r>
          </w:p>
        </w:tc>
        <w:tc>
          <w:tcPr>
            <w:tcW w:w="1724" w:type="dxa"/>
            <w:cnfStyle w:val="000010000000"/>
            <w:tcBorders>
              <w:left w:val="single" w:sz="4" w:space="0" w:color="000000"/>
              <w:right w:val="single" w:sz="4" w:space="0" w:color="000000"/>
            </w:tcBorders>
            <w:shd w:color="auto" w:fill="auto" w:val="clear"/>
            <w:vAlign w:val="center"/>
          </w:tcPr>
          <w:p>
            <w:pPr>
              <w:pStyle w:val="ListParagraph"/>
              <w:widowControl/>
              <w:spacing w:lineRule="auto" w:line="240" w:before="0" w:after="0"/>
              <w:ind w:left="34"/>
              <w:contextualSpacing/>
              <w:jc w:val="center"/>
              <w:rPr>
                <w:rFonts w:ascii="Times New Roman" w:hAnsi="Times New Roman" w:cs="Times New Roman"/>
                <w:sz w:val="20"/>
                <w:szCs w:val="20"/>
              </w:rPr>
            </w:pPr>
            <w:r>
              <w:rPr>
                <w:rFonts w:eastAsia="Times New Roman" w:cs="Times New Roman" w:ascii="Times New Roman" w:hAnsi="Times New Roman"/>
                <w:kern w:val="0"/>
                <w:sz w:val="20"/>
                <w:szCs w:val="20"/>
                <w:lang w:val="ru-RU" w:eastAsia="ru-RU" w:bidi="ar-SA"/>
              </w:rPr>
              <w:t>3 рабочих дня после получения заявки</w:t>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п. 15 «Правил ТП…».</w:t>
            </w:r>
          </w:p>
        </w:tc>
      </w:tr>
      <w:tr>
        <w:trPr>
          <w:trHeight w:val="86" w:hRule="atLeast"/>
          <w:cnfStyle w:val="000000100000"/>
        </w:trPr>
        <w:tc>
          <w:tcPr>
            <w:tcW w:w="467" w:type="dxa"/>
            <w:vMerge w:val="continue"/>
            <w:cnfStyle w:val="001000000000"/>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078"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Непредставление заявителем недостающих документов и сведений в течение 20 рабочих дней со дня получения уведомления</w:t>
            </w:r>
          </w:p>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 xml:space="preserve">1.3. </w:t>
            </w:r>
            <w:r>
              <w:rPr>
                <w:rFonts w:eastAsia="Calibri" w:cs="Times New Roman" w:ascii="Times New Roman" w:hAnsi="Times New Roman"/>
                <w:bCs/>
                <w:kern w:val="0"/>
                <w:sz w:val="20"/>
                <w:szCs w:val="20"/>
                <w:lang w:val="ru-RU" w:eastAsia="en-US" w:bidi="ar-SA"/>
              </w:rPr>
              <w:t>Сетевая организация аннулирует заявку</w:t>
            </w:r>
          </w:p>
        </w:tc>
        <w:tc>
          <w:tcPr>
            <w:tcW w:w="2212"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w:t>
            </w:r>
          </w:p>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 истечении 20 рабочих дней со дня получения уведомления</w:t>
            </w:r>
          </w:p>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72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15 «Правил ТП…».</w:t>
            </w:r>
          </w:p>
        </w:tc>
      </w:tr>
      <w:tr>
        <w:trPr>
          <w:trHeight w:val="86" w:hRule="atLeast"/>
        </w:trPr>
        <w:tc>
          <w:tcPr>
            <w:tcW w:w="467" w:type="dxa"/>
            <w:vMerge w:val="continue"/>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 xml:space="preserve">1.4. </w:t>
            </w:r>
            <w:r>
              <w:rPr>
                <w:rFonts w:eastAsia="Calibri" w:cs="Times New Roman" w:ascii="Times New Roman" w:hAnsi="Times New Roman"/>
                <w:bCs/>
                <w:kern w:val="0"/>
                <w:sz w:val="20"/>
                <w:szCs w:val="20"/>
                <w:lang w:val="ru-RU" w:eastAsia="en-US" w:bidi="ar-SA"/>
              </w:rPr>
              <w:t>Сетевая организация уведомляет об аннулировании заявки заявителя</w:t>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В письменной форме</w:t>
            </w:r>
          </w:p>
        </w:tc>
        <w:tc>
          <w:tcPr>
            <w:tcW w:w="1724" w:type="dxa"/>
            <w:cnfStyle w:val="000010000000"/>
            <w:tcBorders>
              <w:left w:val="single" w:sz="4" w:space="0" w:color="000000"/>
              <w:right w:val="single" w:sz="4" w:space="0" w:color="000000"/>
            </w:tcBorders>
            <w:shd w:color="auto" w:fill="auto" w:val="clear"/>
            <w:vAlign w:val="center"/>
          </w:tcPr>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Calibri" w:cs="Times New Roman" w:ascii="Times New Roman" w:hAnsi="Times New Roman"/>
                <w:bCs/>
                <w:kern w:val="0"/>
                <w:sz w:val="20"/>
                <w:szCs w:val="20"/>
                <w:lang w:val="ru-RU" w:eastAsia="en-US" w:bidi="ar-SA"/>
              </w:rPr>
              <w:t>В течение 3 рабочих дней со дня принятия решения об аннулировании заявки</w:t>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15 «Правил ТП…».</w:t>
            </w:r>
          </w:p>
        </w:tc>
      </w:tr>
      <w:tr>
        <w:trPr>
          <w:trHeight w:val="86" w:hRule="atLeast"/>
          <w:cnfStyle w:val="000000100000"/>
        </w:trPr>
        <w:tc>
          <w:tcPr>
            <w:tcW w:w="467" w:type="dxa"/>
            <w:vMerge w:val="restart"/>
            <w:cnfStyle w:val="001000000000"/>
            <w:tcBorders>
              <w:top w:val="single" w:sz="4" w:space="0" w:color="000000"/>
              <w:left w:val="single" w:sz="4" w:space="0" w:color="000000"/>
              <w:bottom w:val="nil"/>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t>2</w:t>
            </w:r>
          </w:p>
        </w:tc>
        <w:tc>
          <w:tcPr>
            <w:tcW w:w="2167" w:type="dxa"/>
            <w:vMerge w:val="restart"/>
            <w:cnfStyle w:val="000010000000"/>
            <w:tcBorders>
              <w:top w:val="single" w:sz="4" w:space="0" w:color="000000"/>
              <w:left w:val="single" w:sz="4" w:space="0" w:color="000000"/>
              <w:bottom w:val="nil"/>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Подготовка индивидуальных технических условий</w:t>
            </w:r>
          </w:p>
        </w:tc>
        <w:tc>
          <w:tcPr>
            <w:tcW w:w="2078" w:type="dxa"/>
            <w:vMerge w:val="restart"/>
            <w:tcBorders>
              <w:top w:val="single" w:sz="4" w:space="0" w:color="000000"/>
              <w:bottom w:val="nil"/>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2.1. </w:t>
            </w:r>
            <w:r>
              <w:rPr>
                <w:rFonts w:eastAsia="Times New Roman" w:cs="Times New Roman" w:ascii="Times New Roman" w:hAnsi="Times New Roman"/>
                <w:kern w:val="0"/>
                <w:sz w:val="20"/>
                <w:szCs w:val="20"/>
                <w:lang w:val="ru-RU" w:eastAsia="ru-RU" w:bidi="ar-SA"/>
              </w:rPr>
              <w:t>Подготовка индивидуальных технических условий и направление системному оператору</w:t>
            </w:r>
          </w:p>
        </w:tc>
        <w:tc>
          <w:tcPr>
            <w:tcW w:w="2212"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Письменная форма, направляется системному оператору способом, позволяющим подтвердить факт получения</w:t>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5 рабочих дней с даты получения заявки</w:t>
            </w:r>
          </w:p>
        </w:tc>
        <w:tc>
          <w:tcPr>
            <w:tcW w:w="272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15 «Правил ТП…».</w:t>
            </w:r>
          </w:p>
        </w:tc>
      </w:tr>
      <w:tr>
        <w:trPr>
          <w:trHeight w:val="86" w:hRule="atLeast"/>
        </w:trPr>
        <w:tc>
          <w:tcPr>
            <w:tcW w:w="467" w:type="dxa"/>
            <w:vMerge w:val="continue"/>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07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2.2. </w:t>
            </w:r>
            <w:r>
              <w:rPr>
                <w:rFonts w:eastAsia="Times New Roman" w:cs="Times New Roman" w:ascii="Times New Roman" w:hAnsi="Times New Roman"/>
                <w:kern w:val="0"/>
                <w:sz w:val="20"/>
                <w:szCs w:val="20"/>
                <w:lang w:val="ru-RU" w:eastAsia="ru-RU" w:bidi="ar-SA"/>
              </w:rPr>
              <w:t>Согласование системным оператором индивидуальных технических условий</w:t>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Письменная форма технических условий, согласованная системным оператором способом, позволяющим подтвердить факт получения</w:t>
            </w:r>
          </w:p>
        </w:tc>
        <w:tc>
          <w:tcPr>
            <w:tcW w:w="1724" w:type="dxa"/>
            <w:cnfStyle w:val="000010000000"/>
            <w:tcBorders>
              <w:left w:val="single" w:sz="4" w:space="0" w:color="000000"/>
              <w:right w:val="single" w:sz="4" w:space="0" w:color="000000"/>
            </w:tcBorders>
            <w:shd w:color="auto" w:fill="auto" w:val="clear"/>
            <w:vAlign w:val="center"/>
          </w:tcPr>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15 дней с даты получения проекта технических условий от сетевой организации</w:t>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21 «Правил ТП…».</w:t>
            </w:r>
          </w:p>
        </w:tc>
      </w:tr>
      <w:tr>
        <w:trPr>
          <w:trHeight w:val="86" w:hRule="atLeast"/>
          <w:cnfStyle w:val="000000100000"/>
        </w:trPr>
        <w:tc>
          <w:tcPr>
            <w:tcW w:w="467" w:type="dxa"/>
            <w:vMerge w:val="continue"/>
            <w:cnfStyle w:val="001000000000"/>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078" w:type="dxa"/>
            <w:vMerge w:val="continue"/>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2.3. </w:t>
            </w:r>
            <w:r>
              <w:rPr>
                <w:rFonts w:eastAsia="Times New Roman" w:cs="Times New Roman" w:ascii="Times New Roman" w:hAnsi="Times New Roman"/>
                <w:kern w:val="0"/>
                <w:sz w:val="20"/>
                <w:szCs w:val="20"/>
                <w:lang w:val="ru-RU" w:eastAsia="ru-RU" w:bidi="ar-SA"/>
              </w:rPr>
              <w:t>Направление заявителю уведомления об увеличении срока в связи с согласованием технических условий с системным оператором</w:t>
            </w:r>
          </w:p>
        </w:tc>
        <w:tc>
          <w:tcPr>
            <w:tcW w:w="2212"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Уведомление в письменной форме направляется способом</w:t>
            </w:r>
            <w:r>
              <w:rPr>
                <w:rFonts w:eastAsia="Calibri" w:cs="Times New Roman" w:ascii="Times New Roman" w:hAnsi="Times New Roman"/>
                <w:kern w:val="0"/>
                <w:sz w:val="20"/>
                <w:szCs w:val="20"/>
                <w:lang w:val="ru-RU" w:eastAsia="en-US" w:bidi="ar-SA"/>
              </w:rPr>
              <w:t>, позволяющим подтвердить факт получения, или выдача заявителю в офисе обслуживания потребителей</w:t>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w:t>
            </w:r>
          </w:p>
        </w:tc>
        <w:tc>
          <w:tcPr>
            <w:tcW w:w="272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15, 21 «Правил ТП…».</w:t>
            </w:r>
          </w:p>
        </w:tc>
      </w:tr>
      <w:tr>
        <w:trPr>
          <w:trHeight w:val="86" w:hRule="atLeast"/>
        </w:trPr>
        <w:tc>
          <w:tcPr>
            <w:tcW w:w="467" w:type="dxa"/>
            <w:vMerge w:val="restart"/>
            <w:cnfStyle w:val="001000000000"/>
            <w:tcBorders>
              <w:top w:val="single" w:sz="4" w:space="0" w:color="000000"/>
              <w:left w:val="single" w:sz="4" w:space="0" w:color="000000"/>
              <w:bottom w:val="nil"/>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t>3</w:t>
            </w:r>
          </w:p>
        </w:tc>
        <w:tc>
          <w:tcPr>
            <w:tcW w:w="2167" w:type="dxa"/>
            <w:vMerge w:val="restart"/>
            <w:cnfStyle w:val="000010000000"/>
            <w:tcBorders>
              <w:left w:val="single" w:sz="4" w:space="0" w:color="000000"/>
              <w:bottom w:val="nil"/>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Заключение соглашения о порядке взаимодействия сторон до заключения договора об осуществлении технологического присоединения</w:t>
            </w:r>
          </w:p>
        </w:tc>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 необходимости строительства или реконструкции объекта электросетевого хозяйства</w:t>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3.1.</w:t>
            </w:r>
            <w:r>
              <w:rPr>
                <w:rFonts w:eastAsia="Calibri" w:cs="Times New Roman" w:ascii="Times New Roman" w:hAnsi="Times New Roman"/>
                <w:kern w:val="0"/>
                <w:sz w:val="20"/>
                <w:szCs w:val="20"/>
                <w:lang w:val="ru-RU" w:eastAsia="en-US" w:bidi="ar-SA"/>
              </w:rPr>
              <w:t> Подготовка и направление заявителю проекта соглашения о порядке взаимодействия сторон до заключения договора об осуществлении технологического присоединения</w:t>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 xml:space="preserve">Проект соглашения, подписанный со стороны сетевой организации, </w:t>
            </w:r>
            <w:r>
              <w:rPr>
                <w:rFonts w:eastAsia="Times New Roman" w:cs="Times New Roman" w:ascii="Times New Roman" w:hAnsi="Times New Roman"/>
                <w:kern w:val="0"/>
                <w:sz w:val="20"/>
                <w:szCs w:val="20"/>
                <w:lang w:val="ru-RU" w:eastAsia="ru-RU" w:bidi="ar-SA"/>
              </w:rPr>
              <w:t>направляется способом</w:t>
            </w:r>
            <w:r>
              <w:rPr>
                <w:rFonts w:eastAsia="Calibri" w:cs="Times New Roman" w:ascii="Times New Roman" w:hAnsi="Times New Roman"/>
                <w:kern w:val="0"/>
                <w:sz w:val="20"/>
                <w:szCs w:val="20"/>
                <w:lang w:val="ru-RU" w:eastAsia="en-US" w:bidi="ar-SA"/>
              </w:rPr>
              <w:t>, позволяющим подтвердить факт получения, или выдается заявителю в офисе обслуживания потребителей.</w:t>
            </w:r>
          </w:p>
        </w:tc>
        <w:tc>
          <w:tcPr>
            <w:tcW w:w="1724" w:type="dxa"/>
            <w:cnfStyle w:val="000010000000"/>
            <w:tcBorders>
              <w:left w:val="single" w:sz="4" w:space="0" w:color="000000"/>
              <w:right w:val="single" w:sz="4" w:space="0" w:color="000000"/>
            </w:tcBorders>
            <w:shd w:color="auto" w:fill="auto" w:val="clear"/>
            <w:vAlign w:val="center"/>
          </w:tcPr>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w:t>
            </w:r>
          </w:p>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30 «Правил ТП…».</w:t>
            </w:r>
          </w:p>
        </w:tc>
      </w:tr>
      <w:tr>
        <w:trPr>
          <w:trHeight w:val="86" w:hRule="atLeast"/>
          <w:cnfStyle w:val="000000100000"/>
        </w:trPr>
        <w:tc>
          <w:tcPr>
            <w:tcW w:w="467" w:type="dxa"/>
            <w:vMerge w:val="continue"/>
            <w:cnfStyle w:val="001000000000"/>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3.2</w:t>
            </w:r>
            <w:r>
              <w:rPr>
                <w:rFonts w:eastAsia="Times New Roman" w:cs="Times New Roman" w:ascii="Times New Roman" w:hAnsi="Times New Roman"/>
                <w:kern w:val="0"/>
                <w:sz w:val="20"/>
                <w:szCs w:val="20"/>
                <w:lang w:val="ru-RU" w:eastAsia="ru-RU" w:bidi="ar-SA"/>
              </w:rPr>
              <w:t>. П</w:t>
            </w:r>
            <w:r>
              <w:rPr>
                <w:rFonts w:eastAsia="Calibri" w:cs="Times New Roman" w:ascii="Times New Roman" w:hAnsi="Times New Roman"/>
                <w:kern w:val="0"/>
                <w:sz w:val="20"/>
                <w:szCs w:val="20"/>
                <w:lang w:val="ru-RU" w:eastAsia="en-US" w:bidi="ar-SA"/>
              </w:rPr>
              <w:t>одписание заявителем проекта соглашения и направление сетевой организации</w:t>
            </w:r>
          </w:p>
        </w:tc>
        <w:tc>
          <w:tcPr>
            <w:tcW w:w="2212" w:type="dxa"/>
            <w:tcBorders>
              <w:top w:val="single" w:sz="4" w:space="0" w:color="000000"/>
              <w:bottom w:val="single" w:sz="4" w:space="0" w:color="000000"/>
            </w:tcBorders>
            <w:shd w:color="auto" w:fill="auto" w:val="clear"/>
            <w:vAlign w:val="center"/>
          </w:tcPr>
          <w:p>
            <w:pPr>
              <w:pStyle w:val="ListParagraph"/>
              <w:widowControl/>
              <w:spacing w:lineRule="auto" w:line="240" w:before="0" w:after="0"/>
              <w:ind w:left="34"/>
              <w:contextualSpacing/>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П</w:t>
            </w:r>
            <w:r>
              <w:rPr>
                <w:rFonts w:eastAsia="Calibri" w:cs="Times New Roman" w:ascii="Times New Roman" w:hAnsi="Times New Roman"/>
                <w:kern w:val="0"/>
                <w:sz w:val="20"/>
                <w:szCs w:val="20"/>
                <w:lang w:val="ru-RU" w:eastAsia="en-US" w:bidi="ar-SA"/>
              </w:rPr>
              <w:t>одписанный экземпляр соглашения</w:t>
            </w:r>
            <w:r>
              <w:rPr>
                <w:rFonts w:eastAsia="Times New Roman" w:cs="Times New Roman" w:ascii="Times New Roman" w:hAnsi="Times New Roman"/>
                <w:kern w:val="0"/>
                <w:sz w:val="20"/>
                <w:szCs w:val="20"/>
                <w:lang w:val="ru-RU" w:eastAsia="ru-RU" w:bidi="ar-SA"/>
              </w:rPr>
              <w:t xml:space="preserve"> направляется способом</w:t>
            </w:r>
            <w:r>
              <w:rPr>
                <w:rFonts w:eastAsia="Calibri" w:cs="Times New Roman" w:ascii="Times New Roman" w:hAnsi="Times New Roman"/>
                <w:kern w:val="0"/>
                <w:sz w:val="20"/>
                <w:szCs w:val="20"/>
                <w:lang w:val="ru-RU" w:eastAsia="en-US" w:bidi="ar-SA"/>
              </w:rPr>
              <w:t>, позволяющим подтвердить факт получения, или представляет в офис обслуживания потребителей</w:t>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w:t>
            </w:r>
          </w:p>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72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30 «Правил ТП…».</w:t>
            </w:r>
          </w:p>
        </w:tc>
      </w:tr>
      <w:tr>
        <w:trPr>
          <w:trHeight w:val="86" w:hRule="atLeast"/>
        </w:trPr>
        <w:tc>
          <w:tcPr>
            <w:tcW w:w="467" w:type="dxa"/>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t>4</w:t>
            </w:r>
          </w:p>
        </w:tc>
        <w:tc>
          <w:tcPr>
            <w:tcW w:w="2167"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Сетевая организация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w:t>
            </w:r>
          </w:p>
        </w:tc>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Заявление в письменной форме направляется способом</w:t>
            </w:r>
            <w:r>
              <w:rPr>
                <w:rFonts w:eastAsia="Calibri" w:cs="Times New Roman" w:ascii="Times New Roman" w:hAnsi="Times New Roman"/>
                <w:kern w:val="0"/>
                <w:sz w:val="20"/>
                <w:szCs w:val="20"/>
                <w:lang w:val="ru-RU" w:eastAsia="en-US" w:bidi="ar-SA"/>
              </w:rPr>
              <w:t>, позволяющим подтвердить факт получения, с приложением пакета необходимых документов</w:t>
            </w:r>
          </w:p>
        </w:tc>
        <w:tc>
          <w:tcPr>
            <w:tcW w:w="1724" w:type="dxa"/>
            <w:cnfStyle w:val="000010000000"/>
            <w:tcBorders>
              <w:left w:val="single" w:sz="4" w:space="0" w:color="000000"/>
              <w:right w:val="single" w:sz="4" w:space="0" w:color="000000"/>
            </w:tcBorders>
            <w:shd w:color="auto" w:fill="auto" w:val="clear"/>
            <w:vAlign w:val="center"/>
          </w:tcPr>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30 дней  после получения заявки</w:t>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30 «Правил ТП…».</w:t>
            </w:r>
          </w:p>
        </w:tc>
      </w:tr>
      <w:tr>
        <w:trPr>
          <w:trHeight w:val="86" w:hRule="atLeast"/>
          <w:cnfStyle w:val="000000100000"/>
        </w:trPr>
        <w:tc>
          <w:tcPr>
            <w:tcW w:w="467" w:type="dxa"/>
            <w:vMerge w:val="restart"/>
            <w:cnfStyle w:val="001000000000"/>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t>5</w:t>
            </w:r>
          </w:p>
        </w:tc>
        <w:tc>
          <w:tcPr>
            <w:tcW w:w="2167" w:type="dxa"/>
            <w:vMerge w:val="restart"/>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Заключение договора об осуществлении технологического присоединения к электрическим сетям</w:t>
            </w:r>
          </w:p>
        </w:tc>
        <w:tc>
          <w:tcPr>
            <w:tcW w:w="2078"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t>5.1.</w:t>
            </w:r>
            <w:r>
              <w:rPr>
                <w:rFonts w:eastAsia="Times New Roman" w:cs="Times New Roman" w:ascii="Times New Roman" w:hAnsi="Times New Roman"/>
                <w:kern w:val="0"/>
                <w:sz w:val="20"/>
                <w:szCs w:val="20"/>
                <w:lang w:val="ru-RU" w:eastAsia="ru-RU" w:bidi="ar-SA"/>
              </w:rPr>
              <w:t> 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w:t>
            </w:r>
          </w:p>
        </w:tc>
        <w:tc>
          <w:tcPr>
            <w:tcW w:w="2212"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В письменной форме</w:t>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В течение 3 рабочих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w:t>
            </w:r>
          </w:p>
        </w:tc>
        <w:tc>
          <w:tcPr>
            <w:tcW w:w="272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100000"/>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п. 15 «Правил ТП…».</w:t>
            </w:r>
          </w:p>
        </w:tc>
      </w:tr>
      <w:tr>
        <w:trPr>
          <w:trHeight w:val="86" w:hRule="atLeast"/>
        </w:trPr>
        <w:tc>
          <w:tcPr>
            <w:tcW w:w="467" w:type="dxa"/>
            <w:vMerge w:val="continue"/>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5.2</w:t>
            </w:r>
            <w:r>
              <w:rPr>
                <w:rFonts w:eastAsia="Times New Roman" w:cs="Times New Roman" w:ascii="Times New Roman" w:hAnsi="Times New Roman"/>
                <w:kern w:val="0"/>
                <w:sz w:val="20"/>
                <w:szCs w:val="20"/>
                <w:lang w:val="ru-RU" w:eastAsia="ru-RU" w:bidi="ar-SA"/>
              </w:rPr>
              <w:t>. П</w:t>
            </w:r>
            <w:r>
              <w:rPr>
                <w:rFonts w:eastAsia="Calibri" w:cs="Times New Roman" w:ascii="Times New Roman" w:hAnsi="Times New Roman"/>
                <w:kern w:val="0"/>
                <w:sz w:val="20"/>
                <w:szCs w:val="20"/>
                <w:lang w:val="ru-RU" w:eastAsia="en-US" w:bidi="ar-SA"/>
              </w:rPr>
              <w:t>одписание заявителем двух  экземпляров проекта договора и направление   (представляет в офис 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w:t>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w:t>
            </w:r>
          </w:p>
        </w:tc>
        <w:tc>
          <w:tcPr>
            <w:tcW w:w="1724" w:type="dxa"/>
            <w:cnfStyle w:val="000010000000"/>
            <w:tcBorders>
              <w:left w:val="single" w:sz="4" w:space="0" w:color="000000"/>
              <w:right w:val="single" w:sz="4" w:space="0" w:color="000000"/>
            </w:tcBorders>
            <w:shd w:color="auto" w:fill="auto" w:val="clear"/>
            <w:vAlign w:val="center"/>
          </w:tcPr>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20 рабочих дней со  дня получения заявителем проекта договора.</w:t>
            </w:r>
          </w:p>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В случае ненаправления  подписанного проекта договора  либо мотивированного отказа от его подписания через 30 рабочих дней  –  заявка аннулируется.</w:t>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15 «Правил ТП…».</w:t>
            </w:r>
          </w:p>
        </w:tc>
      </w:tr>
      <w:tr>
        <w:trPr>
          <w:trHeight w:val="86" w:hRule="atLeast"/>
          <w:cnfStyle w:val="000000100000"/>
        </w:trPr>
        <w:tc>
          <w:tcPr>
            <w:tcW w:w="467" w:type="dxa"/>
            <w:vMerge w:val="continue"/>
            <w:cnfStyle w:val="001000000000"/>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В случае несогласия заявителя с представленным сетевой организацией проектом договора и (или) несоответствия его Правилам</w:t>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5.3.</w:t>
            </w:r>
            <w:r>
              <w:rPr>
                <w:rFonts w:eastAsia="Calibri" w:cs="Times New Roman" w:ascii="Times New Roman" w:hAnsi="Times New Roman"/>
                <w:kern w:val="0"/>
                <w:sz w:val="20"/>
                <w:szCs w:val="20"/>
                <w:lang w:val="ru-RU" w:eastAsia="en-US" w:bidi="ar-SA"/>
              </w:rPr>
              <w:t xml:space="preserve"> Заявитель направляет сетевой организации мотивированный отказ от подписания проекта договора с предложением об изменении представленного проекта договора</w:t>
            </w:r>
          </w:p>
        </w:tc>
        <w:tc>
          <w:tcPr>
            <w:tcW w:w="2212"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В письменной форме</w:t>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10 рабочих дней со дня получения подписанного сетевой организацией проекта договора и технических условий</w:t>
            </w:r>
          </w:p>
        </w:tc>
        <w:tc>
          <w:tcPr>
            <w:tcW w:w="272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15 «Правил ТП…».</w:t>
            </w:r>
          </w:p>
        </w:tc>
      </w:tr>
      <w:tr>
        <w:trPr>
          <w:trHeight w:val="86" w:hRule="atLeast"/>
        </w:trPr>
        <w:tc>
          <w:tcPr>
            <w:tcW w:w="467" w:type="dxa"/>
            <w:vMerge w:val="continue"/>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 xml:space="preserve">5.4. </w:t>
            </w:r>
            <w:r>
              <w:rPr>
                <w:rFonts w:eastAsia="Times New Roman" w:cs="Times New Roman" w:ascii="Times New Roman" w:hAnsi="Times New Roman"/>
                <w:kern w:val="0"/>
                <w:sz w:val="20"/>
                <w:szCs w:val="20"/>
                <w:lang w:val="ru-RU" w:eastAsia="ru-RU" w:bidi="ar-SA"/>
              </w:rPr>
              <w:t>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w:t>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Письменная форма проекта договора, подписанного со стороны сетевой организации, направляется способом</w:t>
            </w:r>
            <w:r>
              <w:rPr>
                <w:rFonts w:eastAsia="Calibri" w:cs="Times New Roman" w:ascii="Times New Roman" w:hAnsi="Times New Roman"/>
                <w:kern w:val="0"/>
                <w:sz w:val="20"/>
                <w:szCs w:val="20"/>
                <w:lang w:val="ru-RU" w:eastAsia="en-US" w:bidi="ar-SA"/>
              </w:rPr>
              <w:t>, позволяющим подтвердить факт получения, или выдача заявителю в офисе обслуживания потребителей</w:t>
            </w:r>
          </w:p>
        </w:tc>
        <w:tc>
          <w:tcPr>
            <w:tcW w:w="1724" w:type="dxa"/>
            <w:cnfStyle w:val="000010000000"/>
            <w:tcBorders>
              <w:left w:val="single" w:sz="4" w:space="0" w:color="000000"/>
              <w:right w:val="single" w:sz="4" w:space="0" w:color="000000"/>
            </w:tcBorders>
            <w:shd w:color="auto" w:fill="auto" w:val="clear"/>
            <w:vAlign w:val="center"/>
          </w:tcPr>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10 рабочих дней с даты получения от заявителя мотивированного требования о приведении проекта договора в соответствие с Правилами технологического присоединения</w:t>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15 «Правил ТП…».</w:t>
            </w:r>
          </w:p>
        </w:tc>
      </w:tr>
      <w:tr>
        <w:trPr>
          <w:trHeight w:val="86" w:hRule="atLeast"/>
          <w:cnfStyle w:val="000000100000"/>
        </w:trPr>
        <w:tc>
          <w:tcPr>
            <w:tcW w:w="467" w:type="dxa"/>
            <w:vMerge w:val="continue"/>
            <w:cnfStyle w:val="001000000000"/>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5.5</w:t>
            </w:r>
            <w:r>
              <w:rPr>
                <w:rFonts w:eastAsia="Times New Roman" w:cs="Times New Roman" w:ascii="Times New Roman" w:hAnsi="Times New Roman"/>
                <w:kern w:val="0"/>
                <w:sz w:val="20"/>
                <w:szCs w:val="20"/>
                <w:lang w:val="ru-RU" w:eastAsia="ru-RU" w:bidi="ar-SA"/>
              </w:rPr>
              <w:t>. Не направление  подписанного проекта договора  либо мотивированного отказа от его подписания</w:t>
            </w:r>
          </w:p>
        </w:tc>
        <w:tc>
          <w:tcPr>
            <w:tcW w:w="2212"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t>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через 30 рабочих дней с даты направления оферты  заявка аннулируется.</w:t>
            </w:r>
          </w:p>
        </w:tc>
        <w:tc>
          <w:tcPr>
            <w:tcW w:w="272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15 «Правил ТП…».</w:t>
            </w:r>
          </w:p>
        </w:tc>
      </w:tr>
      <w:tr>
        <w:trPr>
          <w:trHeight w:val="86" w:hRule="atLeast"/>
        </w:trPr>
        <w:tc>
          <w:tcPr>
            <w:tcW w:w="467" w:type="dxa"/>
            <w:vMerge w:val="continue"/>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5.6</w:t>
            </w:r>
            <w:r>
              <w:rPr>
                <w:rFonts w:eastAsia="Times New Roman" w:cs="Times New Roman" w:ascii="Times New Roman" w:hAnsi="Times New Roman"/>
                <w:kern w:val="0"/>
                <w:sz w:val="20"/>
                <w:szCs w:val="20"/>
                <w:lang w:val="ru-RU" w:eastAsia="ru-RU" w:bidi="ar-SA"/>
              </w:rPr>
              <w:t>. </w:t>
            </w:r>
            <w:r>
              <w:rPr>
                <w:rFonts w:eastAsia="Calibri" w:cs="Times New Roman" w:ascii="Times New Roman" w:hAnsi="Times New Roman"/>
                <w:kern w:val="0"/>
                <w:sz w:val="20"/>
                <w:szCs w:val="20"/>
                <w:lang w:val="ru-RU" w:eastAsia="en-US" w:bidi="ar-SA"/>
              </w:rPr>
              <w:t>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w:t>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письменной форме</w:t>
            </w:r>
          </w:p>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1724" w:type="dxa"/>
            <w:cnfStyle w:val="000010000000"/>
            <w:tcBorders>
              <w:left w:val="single" w:sz="4" w:space="0" w:color="000000"/>
              <w:right w:val="single" w:sz="4" w:space="0" w:color="000000"/>
            </w:tcBorders>
            <w:shd w:color="auto" w:fill="auto" w:val="clear"/>
            <w:vAlign w:val="center"/>
          </w:tcPr>
          <w:p>
            <w:pPr>
              <w:pStyle w:val="ListParagraph"/>
              <w:widowControl/>
              <w:spacing w:lineRule="auto" w:line="240" w:before="0" w:after="0"/>
              <w:ind w:lef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не позднее 2 рабочих дней с даты заключения договора</w:t>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15 «Правил ТП…».</w:t>
            </w:r>
          </w:p>
        </w:tc>
      </w:tr>
      <w:tr>
        <w:trPr>
          <w:trHeight w:val="695" w:hRule="atLeast"/>
          <w:cnfStyle w:val="000000100000"/>
        </w:trPr>
        <w:tc>
          <w:tcPr>
            <w:tcW w:w="467" w:type="dxa"/>
            <w:vMerge w:val="restart"/>
            <w:cnfStyle w:val="001000000000"/>
            <w:tcBorders>
              <w:top w:val="single" w:sz="4" w:space="0" w:color="000000"/>
              <w:left w:val="single" w:sz="4" w:space="0" w:color="000000"/>
              <w:bottom w:val="nil"/>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t>6</w:t>
            </w:r>
          </w:p>
        </w:tc>
        <w:tc>
          <w:tcPr>
            <w:tcW w:w="2167" w:type="dxa"/>
            <w:vMerge w:val="restart"/>
            <w:cnfStyle w:val="000010000000"/>
            <w:tcBorders>
              <w:top w:val="single" w:sz="4" w:space="0" w:color="000000"/>
              <w:left w:val="single" w:sz="4" w:space="0" w:color="000000"/>
              <w:bottom w:val="nil"/>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Выполнение сторонами мероприятий по технологическому присоединению, предусмотренных договором</w:t>
            </w:r>
          </w:p>
        </w:tc>
        <w:tc>
          <w:tcPr>
            <w:tcW w:w="2078" w:type="dxa"/>
            <w:vMerge w:val="restart"/>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Заключенный договор об осуществлении технологического присоединения</w:t>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t>6.1</w:t>
            </w:r>
            <w:r>
              <w:rPr>
                <w:rFonts w:eastAsia="Times New Roman" w:cs="Times New Roman" w:ascii="Times New Roman" w:hAnsi="Times New Roman"/>
                <w:kern w:val="0"/>
                <w:sz w:val="20"/>
                <w:szCs w:val="20"/>
                <w:lang w:val="ru-RU" w:eastAsia="ru-RU" w:bidi="ar-SA"/>
              </w:rPr>
              <w:t>. Оплата услуг по договору об осуществлении технологического присоединения</w:t>
            </w:r>
          </w:p>
        </w:tc>
        <w:tc>
          <w:tcPr>
            <w:tcW w:w="2212"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w:t>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соответствии с условиями договора</w:t>
            </w:r>
          </w:p>
        </w:tc>
        <w:tc>
          <w:tcPr>
            <w:tcW w:w="2722" w:type="dxa"/>
            <w:vMerge w:val="restart"/>
            <w:tcBorders>
              <w:top w:val="single" w:sz="4" w:space="0" w:color="000000"/>
              <w:bottom w:val="nil"/>
              <w:right w:val="single" w:sz="4" w:space="0" w:color="000000"/>
            </w:tcBorders>
            <w:shd w:color="auto" w:fill="auto" w:val="clear"/>
            <w:vAlign w:val="center"/>
          </w:tcPr>
          <w:p>
            <w:pPr>
              <w:pStyle w:val="Normal"/>
              <w:widowControl/>
              <w:spacing w:lineRule="auto" w:line="240" w:before="0" w:after="0"/>
              <w:ind w:hanging="16" w:left="-16"/>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15 «Правил ТП…».</w:t>
            </w:r>
          </w:p>
        </w:tc>
      </w:tr>
      <w:tr>
        <w:trPr>
          <w:trHeight w:val="695" w:hRule="atLeast"/>
        </w:trPr>
        <w:tc>
          <w:tcPr>
            <w:tcW w:w="467" w:type="dxa"/>
            <w:vMerge w:val="continue"/>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t>6.2</w:t>
            </w:r>
            <w:r>
              <w:rPr>
                <w:rFonts w:eastAsia="Times New Roman" w:cs="Times New Roman" w:ascii="Times New Roman" w:hAnsi="Times New Roman"/>
                <w:kern w:val="0"/>
                <w:sz w:val="20"/>
                <w:szCs w:val="20"/>
                <w:lang w:val="ru-RU" w:eastAsia="ru-RU" w:bidi="ar-SA"/>
              </w:rPr>
              <w:t>. </w:t>
            </w:r>
            <w:r>
              <w:rPr>
                <w:rFonts w:eastAsia="Calibri" w:cs="Times New Roman" w:ascii="Times New Roman" w:hAnsi="Times New Roman"/>
                <w:kern w:val="0"/>
                <w:sz w:val="20"/>
                <w:szCs w:val="20"/>
                <w:lang w:val="ru-RU" w:eastAsia="en-US" w:bidi="ar-SA"/>
              </w:rPr>
              <w:t>Выполнение сетевой организацией мероприятий, предусмотренных договором</w:t>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w:t>
            </w:r>
          </w:p>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1724"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соответствии с условиями договора</w:t>
            </w:r>
          </w:p>
        </w:tc>
        <w:tc>
          <w:tcPr>
            <w:tcW w:w="272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r>
      <w:tr>
        <w:trPr>
          <w:trHeight w:val="695" w:hRule="atLeast"/>
          <w:cnfStyle w:val="000000100000"/>
        </w:trPr>
        <w:tc>
          <w:tcPr>
            <w:tcW w:w="467" w:type="dxa"/>
            <w:vMerge w:val="continue"/>
            <w:cnfStyle w:val="001000000000"/>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vMerge w:val="continue"/>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t>6.3</w:t>
            </w:r>
            <w:r>
              <w:rPr>
                <w:rFonts w:eastAsia="Times New Roman" w:cs="Times New Roman" w:ascii="Times New Roman" w:hAnsi="Times New Roman"/>
                <w:kern w:val="0"/>
                <w:sz w:val="20"/>
                <w:szCs w:val="20"/>
                <w:lang w:val="ru-RU" w:eastAsia="ru-RU" w:bidi="ar-SA"/>
              </w:rPr>
              <w:t>. </w:t>
            </w:r>
            <w:r>
              <w:rPr>
                <w:rFonts w:eastAsia="Calibri" w:cs="Times New Roman" w:ascii="Times New Roman" w:hAnsi="Times New Roman"/>
                <w:kern w:val="0"/>
                <w:sz w:val="20"/>
                <w:szCs w:val="20"/>
                <w:lang w:val="ru-RU" w:eastAsia="en-US" w:bidi="ar-SA"/>
              </w:rPr>
              <w:t>Выполнение заявителем мероприятий, предусмотренных договором</w:t>
            </w:r>
          </w:p>
        </w:tc>
        <w:tc>
          <w:tcPr>
            <w:tcW w:w="2212"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w:t>
            </w:r>
          </w:p>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соответствии с условиями договора</w:t>
            </w:r>
          </w:p>
        </w:tc>
        <w:tc>
          <w:tcPr>
            <w:tcW w:w="2722" w:type="dxa"/>
            <w:vMerge w:val="continue"/>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r>
      <w:tr>
        <w:trPr>
          <w:trHeight w:val="695" w:hRule="atLeast"/>
        </w:trPr>
        <w:tc>
          <w:tcPr>
            <w:tcW w:w="467" w:type="dxa"/>
            <w:vMerge w:val="continue"/>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6.4</w:t>
            </w:r>
            <w:r>
              <w:rPr>
                <w:rFonts w:eastAsia="Times New Roman" w:cs="Times New Roman" w:ascii="Times New Roman" w:hAnsi="Times New Roman"/>
                <w:kern w:val="0"/>
                <w:sz w:val="20"/>
                <w:szCs w:val="20"/>
                <w:lang w:val="ru-RU" w:eastAsia="ru-RU" w:bidi="ar-SA"/>
              </w:rPr>
              <w:t>.</w:t>
            </w:r>
            <w:r>
              <w:rPr>
                <w:rFonts w:eastAsia="Calibri" w:cs="Times New Roman" w:ascii="Times New Roman" w:hAnsi="Times New Roman"/>
                <w:kern w:val="0"/>
                <w:sz w:val="20"/>
                <w:szCs w:val="20"/>
                <w:lang w:val="ru-RU" w:eastAsia="en-US" w:bidi="ar-SA"/>
              </w:rPr>
              <w:t>Направление уведомления заявителем сетевой организации о выполнении технических условий с пакетом необходимых документов</w:t>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Письменное уведомление о выполнении технических условий с приложением необходимых документов</w:t>
            </w:r>
          </w:p>
        </w:tc>
        <w:tc>
          <w:tcPr>
            <w:tcW w:w="1724"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После выполнения технических условий</w:t>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п. 85, 86 «Правил ТП…».</w:t>
            </w:r>
          </w:p>
        </w:tc>
      </w:tr>
      <w:tr>
        <w:trPr>
          <w:trHeight w:val="695" w:hRule="atLeast"/>
          <w:cnfStyle w:val="000000100000"/>
        </w:trPr>
        <w:tc>
          <w:tcPr>
            <w:tcW w:w="467" w:type="dxa"/>
            <w:vMerge w:val="continue"/>
            <w:cnfStyle w:val="001000000000"/>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При необходимости согласования сетевой организации технических условий с системным оператором</w:t>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6.5</w:t>
            </w:r>
            <w:r>
              <w:rPr>
                <w:rFonts w:eastAsia="Times New Roman" w:cs="Times New Roman" w:ascii="Times New Roman" w:hAnsi="Times New Roman"/>
                <w:kern w:val="0"/>
                <w:sz w:val="20"/>
                <w:szCs w:val="20"/>
                <w:lang w:val="ru-RU" w:eastAsia="ru-RU" w:bidi="ar-SA"/>
              </w:rPr>
              <w:t>.Направление с</w:t>
            </w:r>
            <w:r>
              <w:rPr>
                <w:rFonts w:eastAsia="Calibri" w:cs="Times New Roman" w:ascii="Times New Roman" w:hAnsi="Times New Roman"/>
                <w:kern w:val="0"/>
                <w:sz w:val="20"/>
                <w:szCs w:val="20"/>
                <w:lang w:val="ru-RU" w:eastAsia="en-US" w:bidi="ar-SA"/>
              </w:rPr>
              <w:t>етевой  организацией уведомления о готовности заявителя к проверке выполнения технических условий субъекту оперативно-диспетчерского управления копии  уведомления и приложенных к нему документов</w:t>
            </w:r>
          </w:p>
        </w:tc>
        <w:tc>
          <w:tcPr>
            <w:tcW w:w="2212"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Копии уведомления заявителя с необходимым пакетом документов </w:t>
            </w:r>
            <w:r>
              <w:rPr>
                <w:rFonts w:eastAsia="Times New Roman" w:cs="Times New Roman" w:ascii="Times New Roman" w:hAnsi="Times New Roman"/>
                <w:kern w:val="0"/>
                <w:sz w:val="20"/>
                <w:szCs w:val="20"/>
                <w:lang w:val="ru-RU" w:eastAsia="ru-RU" w:bidi="ar-SA"/>
              </w:rPr>
              <w:t>способом</w:t>
            </w:r>
            <w:r>
              <w:rPr>
                <w:rFonts w:eastAsia="Calibri" w:cs="Times New Roman" w:ascii="Times New Roman" w:hAnsi="Times New Roman"/>
                <w:kern w:val="0"/>
                <w:sz w:val="20"/>
                <w:szCs w:val="20"/>
                <w:lang w:val="ru-RU" w:eastAsia="en-US" w:bidi="ar-SA"/>
              </w:rPr>
              <w:t>, позволяющим подтвердить факт получения</w:t>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течение 2 дней со дня получения от заявителя</w:t>
            </w:r>
          </w:p>
        </w:tc>
        <w:tc>
          <w:tcPr>
            <w:tcW w:w="272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94 «Правил ТП…».</w:t>
            </w:r>
          </w:p>
        </w:tc>
      </w:tr>
      <w:tr>
        <w:trPr>
          <w:trHeight w:val="695" w:hRule="atLeast"/>
        </w:trPr>
        <w:tc>
          <w:tcPr>
            <w:tcW w:w="467" w:type="dxa"/>
            <w:vMerge w:val="restart"/>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t>7</w:t>
            </w:r>
          </w:p>
        </w:tc>
        <w:tc>
          <w:tcPr>
            <w:tcW w:w="2167" w:type="dxa"/>
            <w:vMerge w:val="restart"/>
            <w:cnfStyle w:val="000010000000"/>
            <w:tcBorders>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Проверка выполнения технических условий</w:t>
            </w:r>
          </w:p>
        </w:tc>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t>Направление   заявителем сетевой организацией уведомления о выполнении технических условий</w:t>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Times New Roman" w:cs="Times New Roman" w:ascii="Times New Roman" w:hAnsi="Times New Roman"/>
                <w:b/>
                <w:bCs/>
                <w:kern w:val="0"/>
                <w:sz w:val="20"/>
                <w:szCs w:val="20"/>
                <w:lang w:val="ru-RU" w:eastAsia="ru-RU" w:bidi="ar-SA"/>
              </w:rPr>
              <w:t>7.1.</w:t>
            </w:r>
            <w:r>
              <w:rPr>
                <w:rFonts w:eastAsia="Calibri" w:cs="Times New Roman" w:ascii="Times New Roman" w:hAnsi="Times New Roman"/>
                <w:kern w:val="0"/>
                <w:sz w:val="20"/>
                <w:szCs w:val="20"/>
                <w:lang w:val="ru-RU" w:eastAsia="en-US" w:bidi="ar-SA"/>
              </w:rPr>
              <w:t xml:space="preserve">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 проводятся непосредственно в процессе проведения осмотра</w:t>
            </w:r>
          </w:p>
          <w:p>
            <w:pPr>
              <w:pStyle w:val="Normal"/>
              <w:widowControl/>
              <w:spacing w:lineRule="auto" w:line="240" w:before="0" w:after="0"/>
              <w:jc w:val="center"/>
              <w:rPr>
                <w:rFonts w:ascii="Times New Roman" w:hAnsi="Times New Roman" w:cs="Times New Roman"/>
                <w:sz w:val="20"/>
                <w:szCs w:val="20"/>
              </w:rPr>
            </w:pPr>
            <w:r>
              <w:rPr>
                <w:rFonts w:eastAsia="Times New Roman" w:cs="Times New Roman" w:ascii="Times New Roman" w:hAnsi="Times New Roman"/>
                <w:bCs/>
                <w:kern w:val="0"/>
                <w:sz w:val="20"/>
                <w:szCs w:val="20"/>
                <w:lang w:val="ru-RU" w:eastAsia="ru-RU" w:bidi="ar-SA"/>
              </w:rPr>
              <w:t>Допуск к эксплуатации установленного в процессе технологического присоединения прибора учета электрической энергии.</w:t>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cs="Times New Roman"/>
                <w:sz w:val="20"/>
                <w:szCs w:val="20"/>
              </w:rPr>
            </w:pPr>
            <w:hyperlink r:id="rId2">
              <w:r>
                <w:rPr>
                  <w:rStyle w:val="Style8"/>
                  <w:rFonts w:eastAsia="Calibri" w:cs="Times New Roman" w:ascii="Times New Roman" w:hAnsi="Times New Roman"/>
                  <w:kern w:val="0"/>
                  <w:sz w:val="20"/>
                  <w:szCs w:val="20"/>
                  <w:lang w:val="ru-RU" w:eastAsia="en-US" w:bidi="ar-SA"/>
                </w:rPr>
                <w:t>Акт</w:t>
              </w:r>
            </w:hyperlink>
            <w:r>
              <w:rPr>
                <w:rFonts w:eastAsia="Calibri" w:cs="Times New Roman" w:ascii="Times New Roman" w:hAnsi="Times New Roman"/>
                <w:kern w:val="0"/>
                <w:sz w:val="20"/>
                <w:szCs w:val="20"/>
                <w:lang w:val="ru-RU" w:eastAsia="en-US" w:bidi="ar-SA"/>
              </w:rPr>
              <w:t xml:space="preserve"> проверки о выполнении технических условий</w:t>
            </w:r>
          </w:p>
          <w:p>
            <w:pPr>
              <w:pStyle w:val="Normal"/>
              <w:widowControl/>
              <w:spacing w:lineRule="auto" w:line="240" w:before="0" w:after="0"/>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письменной форме.</w:t>
            </w:r>
          </w:p>
          <w:p>
            <w:pPr>
              <w:pStyle w:val="Normal"/>
              <w:widowControl/>
              <w:spacing w:lineRule="auto" w:line="240" w:before="0" w:after="0"/>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 невыполнении требований технических условий сетевая организация в письменной форме уведомляет об этом заявителя. При осмотре электроустановок замечания указываются в перечне выявленных замечаний.</w:t>
            </w:r>
          </w:p>
        </w:tc>
        <w:tc>
          <w:tcPr>
            <w:tcW w:w="1724"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10 дней со дня получения сетевой организацией уведомления от заявителя о выполнении им технических условий</w:t>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83-89 91, 91 (1) «Правил ТП…».</w:t>
            </w:r>
          </w:p>
        </w:tc>
      </w:tr>
      <w:tr>
        <w:trPr>
          <w:trHeight w:val="695" w:hRule="atLeast"/>
          <w:cnfStyle w:val="000000100000"/>
        </w:trPr>
        <w:tc>
          <w:tcPr>
            <w:tcW w:w="467" w:type="dxa"/>
            <w:vMerge w:val="continue"/>
            <w:cnfStyle w:val="001000000000"/>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Если представители субъекта оперативно-диспетчерского управления участвовали в осмотре</w:t>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7.2.</w:t>
            </w:r>
            <w:r>
              <w:rPr>
                <w:rFonts w:eastAsia="Calibri" w:cs="Times New Roman" w:ascii="Times New Roman" w:hAnsi="Times New Roman"/>
                <w:kern w:val="0"/>
                <w:sz w:val="20"/>
                <w:szCs w:val="20"/>
                <w:lang w:val="ru-RU" w:eastAsia="en-US" w:bidi="ar-SA"/>
              </w:rPr>
              <w:t> Согласование перечня выявленных замечаний с субъектом оперативно-диспетчерского управления, при выявлении замечаний.</w:t>
            </w:r>
          </w:p>
        </w:tc>
        <w:tc>
          <w:tcPr>
            <w:tcW w:w="2212"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перечень выявленных замечаний </w:t>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w:t>
            </w:r>
          </w:p>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72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97 «Правил ТП…».</w:t>
            </w:r>
          </w:p>
        </w:tc>
      </w:tr>
      <w:tr>
        <w:trPr>
          <w:trHeight w:val="695" w:hRule="atLeast"/>
        </w:trPr>
        <w:tc>
          <w:tcPr>
            <w:tcW w:w="467" w:type="dxa"/>
            <w:vMerge w:val="continue"/>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7.3.</w:t>
            </w:r>
            <w:r>
              <w:rPr>
                <w:rFonts w:eastAsia="Calibri" w:cs="Times New Roman" w:ascii="Times New Roman" w:hAnsi="Times New Roman"/>
                <w:kern w:val="0"/>
                <w:sz w:val="20"/>
                <w:szCs w:val="20"/>
                <w:lang w:val="ru-RU" w:eastAsia="en-US" w:bidi="ar-SA"/>
              </w:rPr>
              <w:t xml:space="preserve">  Потребитель направляет в адрес органа федерального государственного энергетического надзора уведомление о проведении сетевой организацией осмотра (обследования) электроустановок заявителя</w:t>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p>
            <w:pPr>
              <w:pStyle w:val="Normal"/>
              <w:widowControl/>
              <w:spacing w:lineRule="auto" w:line="240" w:before="0" w:after="0"/>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Письменное уведомление  способом, позволяющим установить дату отправки и получения уведомления</w:t>
            </w:r>
          </w:p>
          <w:p>
            <w:pPr>
              <w:pStyle w:val="Normal"/>
              <w:widowControl/>
              <w:spacing w:lineRule="auto" w:line="240" w:before="0" w:after="0"/>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724"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течение 5 дней со дня оформления акта осмотра (обследования) электроустановок заявителя</w:t>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18(1) - 18(4) «Правил ТП…».</w:t>
            </w:r>
          </w:p>
        </w:tc>
      </w:tr>
      <w:tr>
        <w:trPr>
          <w:trHeight w:val="695" w:hRule="atLeast"/>
          <w:cnfStyle w:val="000000100000"/>
        </w:trPr>
        <w:tc>
          <w:tcPr>
            <w:tcW w:w="467" w:type="dxa"/>
            <w:vMerge w:val="continue"/>
            <w:cnfStyle w:val="001000000000"/>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В случае невыполнении заявителем требований технических условий. Получение от заявителя сетевой организации уведомления об устранении замечаний по выполнению технических условий</w:t>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t>7.4.</w:t>
            </w:r>
            <w:r>
              <w:rPr>
                <w:rFonts w:eastAsia="Calibri" w:cs="Times New Roman" w:ascii="Times New Roman" w:hAnsi="Times New Roman"/>
                <w:kern w:val="0"/>
                <w:sz w:val="20"/>
                <w:szCs w:val="20"/>
                <w:lang w:val="ru-RU" w:eastAsia="en-US" w:bidi="ar-SA"/>
              </w:rPr>
              <w:t xml:space="preserve"> Повторный осмотр электроустановки заявителя</w:t>
            </w:r>
          </w:p>
        </w:tc>
        <w:tc>
          <w:tcPr>
            <w:tcW w:w="2212"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cs="Times New Roman"/>
                <w:sz w:val="20"/>
                <w:szCs w:val="20"/>
              </w:rPr>
            </w:pPr>
            <w:hyperlink r:id="rId3">
              <w:r>
                <w:rPr>
                  <w:rStyle w:val="Style8"/>
                  <w:rFonts w:eastAsia="Calibri" w:cs="Times New Roman" w:ascii="Times New Roman" w:hAnsi="Times New Roman"/>
                  <w:kern w:val="0"/>
                  <w:sz w:val="20"/>
                  <w:szCs w:val="20"/>
                  <w:lang w:val="ru-RU" w:eastAsia="en-US" w:bidi="ar-SA"/>
                </w:rPr>
                <w:t>Акт</w:t>
              </w:r>
            </w:hyperlink>
            <w:r>
              <w:rPr>
                <w:rFonts w:eastAsia="Calibri" w:cs="Times New Roman" w:ascii="Times New Roman" w:hAnsi="Times New Roman"/>
                <w:kern w:val="0"/>
                <w:sz w:val="20"/>
                <w:szCs w:val="20"/>
                <w:lang w:val="ru-RU" w:eastAsia="en-US" w:bidi="ar-SA"/>
              </w:rPr>
              <w:t xml:space="preserve"> проверки о выполнении технических условий</w:t>
            </w:r>
          </w:p>
          <w:p>
            <w:pPr>
              <w:pStyle w:val="Normal"/>
              <w:widowControl/>
              <w:spacing w:lineRule="auto" w:line="240" w:before="0" w:after="0"/>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 позднее 3 рабочих дней после получения от заявителя уведомления об устранении замечаний с приложением информации о принятых мерах по их устранению.</w:t>
            </w:r>
          </w:p>
        </w:tc>
        <w:tc>
          <w:tcPr>
            <w:tcW w:w="272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89 «Правил ТП…».</w:t>
            </w:r>
          </w:p>
        </w:tc>
      </w:tr>
      <w:tr>
        <w:trPr>
          <w:trHeight w:val="695" w:hRule="atLeast"/>
        </w:trPr>
        <w:tc>
          <w:tcPr>
            <w:tcW w:w="467" w:type="dxa"/>
            <w:vMerge w:val="continue"/>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Times New Roman" w:cs="Times New Roman" w:ascii="Times New Roman" w:hAnsi="Times New Roman"/>
                <w:b/>
                <w:bCs/>
                <w:kern w:val="0"/>
                <w:sz w:val="20"/>
                <w:szCs w:val="20"/>
                <w:lang w:val="ru-RU" w:eastAsia="ru-RU" w:bidi="ar-SA"/>
              </w:rPr>
              <w:t>7.5.</w:t>
            </w:r>
            <w:r>
              <w:rPr>
                <w:rFonts w:eastAsia="Calibri" w:cs="Times New Roman" w:ascii="Times New Roman" w:hAnsi="Times New Roman"/>
                <w:kern w:val="0"/>
                <w:sz w:val="20"/>
                <w:szCs w:val="20"/>
                <w:lang w:val="ru-RU" w:eastAsia="en-US" w:bidi="ar-SA"/>
              </w:rPr>
              <w:t xml:space="preserve"> Прием в эксплуатацию прибора учета.</w:t>
            </w:r>
          </w:p>
          <w:p>
            <w:pPr>
              <w:pStyle w:val="Normal"/>
              <w:widowControl/>
              <w:numPr>
                <w:ilvl w:val="0"/>
                <w:numId w:val="0"/>
              </w:numPr>
              <w:spacing w:lineRule="auto" w:line="240" w:before="0" w:after="0"/>
              <w:jc w:val="center"/>
              <w:outlineLvl w:val="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Подписание сторонами  Акта допуска в эксплуатацию прибора учета.</w:t>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cs="Times New Roman"/>
                <w:sz w:val="20"/>
                <w:szCs w:val="20"/>
              </w:rPr>
            </w:pPr>
            <w:hyperlink r:id="rId4">
              <w:r>
                <w:rPr>
                  <w:rStyle w:val="Style8"/>
                  <w:rFonts w:eastAsia="Calibri" w:cs="Times New Roman" w:ascii="Times New Roman" w:hAnsi="Times New Roman"/>
                  <w:kern w:val="0"/>
                  <w:sz w:val="20"/>
                  <w:szCs w:val="20"/>
                  <w:lang w:val="ru-RU" w:eastAsia="en-US" w:bidi="ar-SA"/>
                </w:rPr>
                <w:t>Акт</w:t>
              </w:r>
            </w:hyperlink>
            <w:r>
              <w:rPr>
                <w:rFonts w:eastAsia="Calibri" w:cs="Times New Roman" w:ascii="Times New Roman" w:hAnsi="Times New Roman"/>
                <w:kern w:val="0"/>
                <w:sz w:val="20"/>
                <w:szCs w:val="20"/>
                <w:lang w:val="ru-RU" w:eastAsia="en-US" w:bidi="ar-SA"/>
              </w:rPr>
              <w:t xml:space="preserve"> допуска в эксплуатацию прибора учета в письменной форме</w:t>
            </w:r>
          </w:p>
        </w:tc>
        <w:tc>
          <w:tcPr>
            <w:tcW w:w="1724"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Не установлен</w:t>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cs="Times New Roman"/>
                <w:sz w:val="20"/>
                <w:szCs w:val="20"/>
              </w:rPr>
            </w:pPr>
            <w:r>
              <w:rPr>
                <w:rFonts w:eastAsia="Times New Roman" w:cs="Times New Roman" w:ascii="Times New Roman" w:hAnsi="Times New Roman"/>
                <w:kern w:val="0"/>
                <w:sz w:val="20"/>
                <w:szCs w:val="20"/>
                <w:lang w:val="ru-RU" w:eastAsia="ru-RU" w:bidi="ar-SA"/>
              </w:rPr>
              <w:t>Раздел Х Основ функционирования розничных рынков электрической энергии</w:t>
            </w:r>
            <w:r>
              <w:rPr>
                <w:rStyle w:val="FootnoteReference"/>
                <w:rFonts w:eastAsia="Times New Roman" w:cs="Times New Roman" w:ascii="Times New Roman" w:hAnsi="Times New Roman"/>
                <w:kern w:val="0"/>
                <w:sz w:val="20"/>
                <w:szCs w:val="20"/>
                <w:lang w:val="ru-RU" w:eastAsia="ru-RU" w:bidi="ar-SA"/>
              </w:rPr>
              <w:footnoteReference w:id="3"/>
            </w:r>
          </w:p>
        </w:tc>
      </w:tr>
      <w:tr>
        <w:trPr>
          <w:trHeight w:val="695" w:hRule="atLeast"/>
          <w:cnfStyle w:val="000000100000"/>
        </w:trPr>
        <w:tc>
          <w:tcPr>
            <w:tcW w:w="467" w:type="dxa"/>
            <w:vMerge w:val="continue"/>
            <w:cnfStyle w:val="001000000000"/>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Calibri" w:cs="Times New Roman" w:ascii="Times New Roman" w:hAnsi="Times New Roman"/>
                <w:kern w:val="0"/>
                <w:sz w:val="20"/>
                <w:szCs w:val="20"/>
                <w:lang w:val="ru-RU" w:eastAsia="en-US" w:bidi="ar-SA"/>
              </w:rPr>
              <w:t>В случае выполнения заявителем  требований технических условий</w:t>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Times New Roman" w:cs="Times New Roman" w:ascii="Times New Roman" w:hAnsi="Times New Roman"/>
                <w:b/>
                <w:bCs/>
                <w:kern w:val="0"/>
                <w:sz w:val="20"/>
                <w:szCs w:val="20"/>
                <w:lang w:val="ru-RU" w:eastAsia="ru-RU" w:bidi="ar-SA"/>
              </w:rPr>
              <w:t>7.6.</w:t>
            </w:r>
            <w:r>
              <w:rPr>
                <w:rFonts w:eastAsia="Calibri" w:cs="Times New Roman" w:ascii="Times New Roman" w:hAnsi="Times New Roman"/>
                <w:kern w:val="0"/>
                <w:sz w:val="20"/>
                <w:szCs w:val="20"/>
                <w:lang w:val="ru-RU" w:eastAsia="en-US" w:bidi="ar-SA"/>
              </w:rPr>
              <w:t xml:space="preserve"> Направление (выдача) заявителю Акта о выполнении технических условий в 2 экземплярах</w:t>
            </w:r>
          </w:p>
        </w:tc>
        <w:tc>
          <w:tcPr>
            <w:tcW w:w="2212"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Акт о выполнении технических условий в письменной форме направляется  </w:t>
            </w:r>
            <w:r>
              <w:rPr>
                <w:rFonts w:eastAsia="Times New Roman" w:cs="Times New Roman" w:ascii="Times New Roman" w:hAnsi="Times New Roman"/>
                <w:kern w:val="0"/>
                <w:sz w:val="20"/>
                <w:szCs w:val="20"/>
                <w:lang w:val="ru-RU" w:eastAsia="ru-RU" w:bidi="ar-SA"/>
              </w:rPr>
              <w:t>способом</w:t>
            </w:r>
            <w:r>
              <w:rPr>
                <w:rFonts w:eastAsia="Calibri" w:cs="Times New Roman" w:ascii="Times New Roman" w:hAnsi="Times New Roman"/>
                <w:kern w:val="0"/>
                <w:sz w:val="20"/>
                <w:szCs w:val="20"/>
                <w:lang w:val="ru-RU" w:eastAsia="en-US" w:bidi="ar-SA"/>
              </w:rPr>
              <w:t>, позволяющим подтвердить факт получения, или выдаются заявителю в офисе обслуживания потребителей</w:t>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3-дневный срок со дня проведения процедуры сетевая организация составляет и направляет для подписания заявителю</w:t>
            </w:r>
          </w:p>
        </w:tc>
        <w:tc>
          <w:tcPr>
            <w:tcW w:w="272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88 «Правил ТП…».</w:t>
            </w:r>
          </w:p>
        </w:tc>
      </w:tr>
      <w:tr>
        <w:trPr>
          <w:trHeight w:val="695" w:hRule="atLeast"/>
        </w:trPr>
        <w:tc>
          <w:tcPr>
            <w:tcW w:w="467" w:type="dxa"/>
            <w:vMerge w:val="continue"/>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b/>
                <w:bCs/>
                <w:sz w:val="20"/>
                <w:szCs w:val="20"/>
              </w:rPr>
            </w:pPr>
            <w:r>
              <w:rPr>
                <w:rFonts w:eastAsia="Times New Roman" w:cs="Times New Roman" w:ascii="Times New Roman" w:hAnsi="Times New Roman"/>
                <w:b/>
                <w:bCs/>
                <w:kern w:val="0"/>
                <w:sz w:val="20"/>
                <w:szCs w:val="20"/>
                <w:lang w:val="ru-RU" w:eastAsia="ru-RU" w:bidi="ar-SA"/>
              </w:rPr>
              <w:t xml:space="preserve">7.7. </w:t>
            </w:r>
            <w:r>
              <w:rPr>
                <w:rFonts w:eastAsia="Calibri" w:cs="Times New Roman" w:ascii="Times New Roman" w:hAnsi="Times New Roman"/>
                <w:kern w:val="0"/>
                <w:sz w:val="20"/>
                <w:szCs w:val="20"/>
                <w:lang w:val="ru-RU" w:eastAsia="en-US" w:bidi="ar-SA"/>
              </w:rPr>
              <w:t>Заявитель возвращает в сетевую организацию один экземпляр подписанного со своей стороны акта о выполнении технических условий</w:t>
            </w:r>
          </w:p>
          <w:p>
            <w:pPr>
              <w:pStyle w:val="Normal"/>
              <w:widowControl/>
              <w:spacing w:lineRule="auto" w:line="240" w:before="0" w:after="0"/>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kern w:val="0"/>
                <w:sz w:val="20"/>
                <w:szCs w:val="20"/>
                <w:lang w:val="ru-RU" w:eastAsia="ru-RU" w:bidi="ar-SA"/>
              </w:rPr>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Подписанный Акт о выполнении технических условий в письменной форме направляется  </w:t>
            </w:r>
            <w:r>
              <w:rPr>
                <w:rFonts w:eastAsia="Times New Roman" w:cs="Times New Roman" w:ascii="Times New Roman" w:hAnsi="Times New Roman"/>
                <w:kern w:val="0"/>
                <w:sz w:val="20"/>
                <w:szCs w:val="20"/>
                <w:lang w:val="ru-RU" w:eastAsia="ru-RU" w:bidi="ar-SA"/>
              </w:rPr>
              <w:t>способом</w:t>
            </w:r>
            <w:r>
              <w:rPr>
                <w:rFonts w:eastAsia="Calibri" w:cs="Times New Roman" w:ascii="Times New Roman" w:hAnsi="Times New Roman"/>
                <w:kern w:val="0"/>
                <w:sz w:val="20"/>
                <w:szCs w:val="20"/>
                <w:lang w:val="ru-RU" w:eastAsia="en-US" w:bidi="ar-SA"/>
              </w:rPr>
              <w:t>, позволяющим подтвердить факт получения, или выдаются заявителю в офисе обслуживания потребителей</w:t>
            </w:r>
          </w:p>
        </w:tc>
        <w:tc>
          <w:tcPr>
            <w:tcW w:w="1724"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течение 5 дней со дня получения подписанного сетевой организацией акта о выполнении технических условий</w:t>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88 «Правил ТП…».</w:t>
            </w:r>
          </w:p>
        </w:tc>
      </w:tr>
      <w:tr>
        <w:trPr>
          <w:trHeight w:val="695" w:hRule="atLeast"/>
          <w:cnfStyle w:val="000000100000"/>
        </w:trPr>
        <w:tc>
          <w:tcPr>
            <w:tcW w:w="467" w:type="dxa"/>
            <w:vMerge w:val="restart"/>
            <w:cnfStyle w:val="001000000000"/>
            <w:tcBorders>
              <w:top w:val="single" w:sz="4" w:space="0" w:color="000000"/>
              <w:left w:val="single" w:sz="4" w:space="0" w:color="000000"/>
              <w:bottom w:val="nil"/>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t>8</w:t>
            </w:r>
          </w:p>
        </w:tc>
        <w:tc>
          <w:tcPr>
            <w:tcW w:w="2167" w:type="dxa"/>
            <w:vMerge w:val="restart"/>
            <w:cnfStyle w:val="000010000000"/>
            <w:tcBorders>
              <w:top w:val="single" w:sz="4" w:space="0" w:color="000000"/>
              <w:left w:val="single" w:sz="4" w:space="0" w:color="000000"/>
              <w:bottom w:val="nil"/>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Присоединение объектов заявителя и подписание актов, подтверждающих  технологическое присоединение</w:t>
            </w:r>
          </w:p>
        </w:tc>
        <w:tc>
          <w:tcPr>
            <w:tcW w:w="2078" w:type="dxa"/>
            <w:vMerge w:val="restart"/>
            <w:tcBorders>
              <w:top w:val="single" w:sz="4" w:space="0" w:color="000000"/>
              <w:bottom w:val="nil"/>
            </w:tcBorders>
            <w:shd w:color="auto" w:fill="auto" w:val="clear"/>
            <w:vAlign w:val="center"/>
          </w:tcPr>
          <w:p>
            <w:pPr>
              <w:pStyle w:val="Normal"/>
              <w:widowControl/>
              <w:spacing w:lineRule="auto" w:line="240" w:before="0" w:after="0"/>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Times New Roman" w:cs="Times New Roman" w:ascii="Times New Roman" w:hAnsi="Times New Roman"/>
                <w:b/>
                <w:bCs/>
                <w:kern w:val="0"/>
                <w:sz w:val="20"/>
                <w:szCs w:val="20"/>
                <w:lang w:val="ru-RU" w:eastAsia="ru-RU" w:bidi="ar-SA"/>
              </w:rPr>
              <w:t>8.1</w:t>
            </w:r>
            <w:r>
              <w:rPr>
                <w:rFonts w:eastAsia="Calibri" w:cs="Times New Roman" w:ascii="Times New Roman" w:hAnsi="Times New Roman"/>
                <w:kern w:val="0"/>
                <w:sz w:val="20"/>
                <w:szCs w:val="20"/>
                <w:lang w:val="ru-RU" w:eastAsia="en-US" w:bidi="ar-SA"/>
              </w:rPr>
              <w:t> Фактическое присоединение объектов заявителя</w:t>
            </w:r>
          </w:p>
        </w:tc>
        <w:tc>
          <w:tcPr>
            <w:tcW w:w="2212" w:type="dxa"/>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соответствии с условиями договора</w:t>
            </w:r>
          </w:p>
        </w:tc>
        <w:tc>
          <w:tcPr>
            <w:tcW w:w="272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7, 18 «Правил ТП…».</w:t>
            </w:r>
          </w:p>
        </w:tc>
      </w:tr>
      <w:tr>
        <w:trPr>
          <w:trHeight w:val="270" w:hRule="atLeast"/>
        </w:trPr>
        <w:tc>
          <w:tcPr>
            <w:tcW w:w="467" w:type="dxa"/>
            <w:vMerge w:val="continue"/>
            <w:cnfStyle w:val="00100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07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Times New Roman" w:cs="Times New Roman" w:ascii="Times New Roman" w:hAnsi="Times New Roman"/>
                <w:b/>
                <w:bCs/>
                <w:kern w:val="0"/>
                <w:sz w:val="20"/>
                <w:szCs w:val="20"/>
                <w:lang w:val="ru-RU" w:eastAsia="ru-RU" w:bidi="ar-SA"/>
              </w:rPr>
              <w:t>8.2.</w:t>
            </w:r>
            <w:r>
              <w:rPr>
                <w:rFonts w:eastAsia="Calibri" w:cs="Times New Roman" w:ascii="Times New Roman" w:hAnsi="Times New Roman"/>
                <w:kern w:val="0"/>
                <w:sz w:val="20"/>
                <w:szCs w:val="20"/>
                <w:lang w:val="ru-RU" w:eastAsia="en-US" w:bidi="ar-SA"/>
              </w:rPr>
              <w:t xml:space="preserve"> Оформление сетевой организации и направление (выдача) заявителю:</w:t>
            </w:r>
          </w:p>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Акта об осуществлении технологического присоединения;</w:t>
            </w:r>
          </w:p>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r>
          </w:p>
        </w:tc>
        <w:tc>
          <w:tcPr>
            <w:tcW w:w="2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 xml:space="preserve">Подписанные со стороны сетевой организации Акты  в письменной форме направляются </w:t>
            </w:r>
            <w:r>
              <w:rPr>
                <w:rFonts w:eastAsia="Times New Roman" w:cs="Times New Roman" w:ascii="Times New Roman" w:hAnsi="Times New Roman"/>
                <w:kern w:val="0"/>
                <w:sz w:val="20"/>
                <w:szCs w:val="20"/>
                <w:lang w:val="ru-RU" w:eastAsia="ru-RU" w:bidi="ar-SA"/>
              </w:rPr>
              <w:t>способом</w:t>
            </w:r>
            <w:r>
              <w:rPr>
                <w:rFonts w:eastAsia="Calibri" w:cs="Times New Roman" w:ascii="Times New Roman" w:hAnsi="Times New Roman"/>
                <w:kern w:val="0"/>
                <w:sz w:val="20"/>
                <w:szCs w:val="20"/>
                <w:lang w:val="ru-RU" w:eastAsia="en-US" w:bidi="ar-SA"/>
              </w:rPr>
              <w:t>, позволяющим подтвердить факт получения, или выдаются заявителю в офисе обслуживания потребителей</w:t>
            </w:r>
          </w:p>
        </w:tc>
        <w:tc>
          <w:tcPr>
            <w:tcW w:w="1724" w:type="dxa"/>
            <w:cnfStyle w:val="000010000000"/>
            <w:tcBorders>
              <w:left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соответствии с условиями договора</w:t>
            </w:r>
          </w:p>
        </w:tc>
        <w:tc>
          <w:tcPr>
            <w:tcW w:w="27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ind w:hanging="16" w:left="-16"/>
              <w:jc w:val="center"/>
              <w:cnfStyle w:val="0000000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19 «Правил ТП…».</w:t>
            </w:r>
          </w:p>
        </w:tc>
      </w:tr>
      <w:tr>
        <w:trPr>
          <w:trHeight w:val="695" w:hRule="atLeast"/>
          <w:cnfStyle w:val="000000100000"/>
        </w:trPr>
        <w:tc>
          <w:tcPr>
            <w:tcW w:w="467" w:type="dxa"/>
            <w:vMerge w:val="continue"/>
            <w:cnfStyle w:val="001000000000"/>
            <w:tcBorders>
              <w:top w:val="single" w:sz="4" w:space="0" w:color="000000"/>
              <w:left w:val="single" w:sz="4" w:space="0" w:color="000000"/>
              <w:bottom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kern w:val="0"/>
                <w:sz w:val="20"/>
                <w:szCs w:val="20"/>
                <w:lang w:val="ru-RU" w:eastAsia="ru-RU" w:bidi="ar-SA"/>
              </w:rPr>
            </w:r>
          </w:p>
        </w:tc>
        <w:tc>
          <w:tcPr>
            <w:tcW w:w="2167" w:type="dxa"/>
            <w:vMerge w:val="continue"/>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078" w:type="dxa"/>
            <w:vMerge w:val="continue"/>
            <w:tcBorders>
              <w:top w:val="single" w:sz="4" w:space="0" w:color="000000"/>
              <w:bottom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eastAsia="Times New Roman" w:cs="Times New Roman"/>
                <w:sz w:val="20"/>
                <w:szCs w:val="20"/>
                <w:lang w:eastAsia="ru-RU"/>
              </w:rPr>
            </w:pPr>
            <w:r>
              <w:rPr>
                <w:rFonts w:eastAsia="Times New Roman" w:cs="Times New Roman" w:ascii="Times New Roman" w:hAnsi="Times New Roman"/>
                <w:kern w:val="0"/>
                <w:sz w:val="20"/>
                <w:szCs w:val="20"/>
                <w:lang w:val="ru-RU" w:eastAsia="ru-RU" w:bidi="ar-SA"/>
              </w:rPr>
            </w:r>
          </w:p>
        </w:tc>
        <w:tc>
          <w:tcPr>
            <w:tcW w:w="2630"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Times New Roman" w:cs="Times New Roman" w:ascii="Times New Roman" w:hAnsi="Times New Roman"/>
                <w:b/>
                <w:bCs/>
                <w:kern w:val="0"/>
                <w:sz w:val="20"/>
                <w:szCs w:val="20"/>
                <w:lang w:val="ru-RU" w:eastAsia="ru-RU" w:bidi="ar-SA"/>
              </w:rPr>
              <w:t>8.3.</w:t>
            </w:r>
            <w:r>
              <w:rPr>
                <w:rFonts w:eastAsia="Calibri" w:cs="Times New Roman" w:ascii="Times New Roman" w:hAnsi="Times New Roman"/>
                <w:kern w:val="0"/>
                <w:sz w:val="20"/>
                <w:szCs w:val="20"/>
                <w:lang w:val="ru-RU" w:eastAsia="en-US" w:bidi="ar-SA"/>
              </w:rPr>
              <w:t xml:space="preserve"> Направление сетевой организацией подписанных с  заявителем актов  в энергосбытовую организацию</w:t>
            </w:r>
          </w:p>
        </w:tc>
        <w:tc>
          <w:tcPr>
            <w:tcW w:w="2212" w:type="dxa"/>
            <w:tcBorders>
              <w:top w:val="single" w:sz="4" w:space="0" w:color="000000"/>
              <w:bottom w:val="single" w:sz="4" w:space="0" w:color="000000"/>
            </w:tcBorders>
            <w:shd w:color="auto" w:fill="auto" w:val="clear"/>
            <w:vAlign w:val="center"/>
          </w:tcPr>
          <w:p>
            <w:pPr>
              <w:pStyle w:val="Normal"/>
              <w:widowControl/>
              <w:numPr>
                <w:ilvl w:val="0"/>
                <w:numId w:val="0"/>
              </w:numPr>
              <w:spacing w:lineRule="auto" w:line="240" w:before="0" w:after="0"/>
              <w:jc w:val="center"/>
              <w:outlineLvl w:val="0"/>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письменной форме или электронной форме</w:t>
            </w:r>
          </w:p>
        </w:tc>
        <w:tc>
          <w:tcPr>
            <w:tcW w:w="1724" w:type="dxa"/>
            <w:cnfStyle w:val="00001000000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В течение 2 рабочих дней после предоставления подписанных  заявителем актов в сетевую организацию.</w:t>
            </w:r>
          </w:p>
        </w:tc>
        <w:tc>
          <w:tcPr>
            <w:tcW w:w="2722" w:type="dxa"/>
            <w:tcBorders>
              <w:top w:val="single" w:sz="4" w:space="0" w:color="000000"/>
              <w:bottom w:val="single" w:sz="4" w:space="0" w:color="000000"/>
              <w:right w:val="single" w:sz="4" w:space="0" w:color="000000"/>
            </w:tcBorders>
            <w:shd w:color="auto" w:fill="auto" w:val="clear"/>
            <w:vAlign w:val="center"/>
          </w:tcPr>
          <w:p>
            <w:pPr>
              <w:pStyle w:val="Normal"/>
              <w:widowControl/>
              <w:spacing w:lineRule="auto" w:line="240" w:before="0" w:after="0"/>
              <w:jc w:val="center"/>
              <w:cnfStyle w:val="000000100000"/>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п. 19 (1) «Правил ТП…».</w:t>
            </w:r>
          </w:p>
        </w:tc>
      </w:tr>
    </w:tbl>
    <w:p>
      <w:pPr>
        <w:pStyle w:val="Normal"/>
        <w:numPr>
          <w:ilvl w:val="0"/>
          <w:numId w:val="0"/>
        </w:numPr>
        <w:spacing w:lineRule="auto" w:line="240" w:before="0" w:after="0"/>
        <w:jc w:val="both"/>
        <w:outlineLvl w:val="0"/>
        <w:rPr>
          <w:rFonts w:ascii="Times New Roman" w:hAnsi="Times New Roman" w:cs="Times New Roman"/>
          <w:b/>
          <w:color w:themeColor="text2" w:themeTint="99" w:val="548DD4"/>
          <w:sz w:val="24"/>
          <w:szCs w:val="24"/>
        </w:rPr>
      </w:pPr>
      <w:r>
        <w:rPr>
          <w:rFonts w:cs="Times New Roman" w:ascii="Times New Roman" w:hAnsi="Times New Roman"/>
          <w:b/>
          <w:color w:themeColor="text2" w:themeTint="99" w:val="548DD4"/>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color w:val="548DD4"/>
          <w:sz w:val="24"/>
          <w:szCs w:val="24"/>
        </w:rPr>
        <w:t>КОНТАКТНАЯ ИНФОРМАЦИЯ ДЛЯ НАПРАВЛЕНИЯ ОБРАЩЕНИЙ:</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Номер телефонного центра обслуживания АО "АЭС": </w:t>
      </w:r>
      <w:r>
        <w:rPr>
          <w:rFonts w:cs="Times New Roman" w:ascii="Times New Roman" w:hAnsi="Times New Roman"/>
          <w:bCs/>
          <w:color w:val="000000"/>
          <w:sz w:val="24"/>
          <w:szCs w:val="24"/>
          <w:shd w:fill="FFFFFF" w:val="clear"/>
        </w:rPr>
        <w:t>8-800-250-3667</w:t>
      </w:r>
    </w:p>
    <w:p>
      <w:pPr>
        <w:pStyle w:val="Normal"/>
        <w:spacing w:lineRule="auto" w:line="240" w:before="0" w:after="0"/>
        <w:rPr>
          <w:rFonts w:ascii="Times New Roman" w:hAnsi="Times New Roman" w:cs="Times New Roman"/>
          <w:b/>
          <w:color w:val="548DD4"/>
          <w:sz w:val="24"/>
          <w:szCs w:val="24"/>
        </w:rPr>
      </w:pPr>
      <w:r>
        <w:rPr>
          <w:rFonts w:cs="Times New Roman" w:ascii="Times New Roman" w:hAnsi="Times New Roman"/>
          <w:sz w:val="24"/>
          <w:szCs w:val="24"/>
        </w:rPr>
        <w:t xml:space="preserve">Адрес электронной почты АО "АЭС": </w:t>
      </w:r>
      <w:hyperlink r:id="rId5">
        <w:r>
          <w:rPr>
            <w:rStyle w:val="Hyperlink"/>
            <w:rFonts w:cs="Times New Roman" w:ascii="Times New Roman" w:hAnsi="Times New Roman"/>
            <w:sz w:val="24"/>
            <w:szCs w:val="24"/>
          </w:rPr>
          <w:t xml:space="preserve"> </w:t>
        </w:r>
        <w:r>
          <w:rPr>
            <w:rStyle w:val="Hyperlink"/>
            <w:rFonts w:cs="Times New Roman" w:ascii="Times New Roman" w:hAnsi="Times New Roman"/>
            <w:color w:val="2A6496"/>
            <w:sz w:val="24"/>
            <w:szCs w:val="24"/>
          </w:rPr>
          <w:t>mail@mpaes.ru</w:t>
        </w:r>
        <w:r>
          <w:rPr>
            <w:rStyle w:val="Hyperlink"/>
            <w:rFonts w:cs="Times New Roman" w:ascii="Times New Roman" w:hAnsi="Times New Roman"/>
            <w:color w:val="548DD4"/>
            <w:sz w:val="24"/>
            <w:szCs w:val="24"/>
          </w:rPr>
          <w:t xml:space="preserve"> </w:t>
        </w:r>
      </w:hyperlink>
    </w:p>
    <w:p>
      <w:pPr>
        <w:pStyle w:val="Normal"/>
        <w:spacing w:lineRule="auto" w:line="240" w:before="0" w:after="60"/>
        <w:jc w:val="both"/>
        <w:rPr>
          <w:sz w:val="24"/>
          <w:szCs w:val="24"/>
        </w:rPr>
      </w:pPr>
      <w:r>
        <w:rPr>
          <w:sz w:val="24"/>
          <w:szCs w:val="24"/>
        </w:rPr>
      </w:r>
    </w:p>
    <w:sectPr>
      <w:footnotePr>
        <w:numFmt w:val="decimal"/>
      </w:footnotePr>
      <w:type w:val="nextPage"/>
      <w:pgSz w:orient="landscape" w:w="16838" w:h="11906"/>
      <w:pgMar w:left="1701" w:right="850" w:gutter="0" w:header="0" w:top="567" w:footer="0" w:bottom="1276"/>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swiss"/>
    <w:pitch w:val="variable"/>
  </w:font>
  <w:font w:name="Liberation Sans">
    <w:altName w:val="Arial"/>
    <w:charset w:val="cc"/>
    <w:family w:val="swiss"/>
    <w:pitch w:val="variable"/>
  </w:font>
  <w:font w:name="Arial">
    <w:charset w:val="cc"/>
    <w:family w:val="swiss"/>
    <w:pitch w:val="variable"/>
  </w:font>
  <w:font w:name="Courier New">
    <w:charset w:val="cc"/>
    <w:family w:val="roman"/>
    <w:pitch w:val="variable"/>
  </w:font>
  <w:font w:name="Calibri">
    <w:charset w:val="cc"/>
    <w:family w:val="swiss"/>
    <w:pitch w:val="variable"/>
  </w:font>
  <w:font w:name="Times New Roman">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rFonts w:ascii="Times New Roman" w:hAnsi="Times New Roman" w:cs="Times New Roman"/>
        </w:rPr>
      </w:pPr>
      <w:r>
        <w:rPr>
          <w:rStyle w:val="Style17"/>
        </w:rPr>
        <w:footnoteRef/>
      </w:r>
      <w:r>
        <w:rPr>
          <w:rFonts w:cs="Times New Roman" w:ascii="Times New Roman" w:hAnsi="Times New Roman"/>
        </w:rPr>
        <w:t xml:space="preserve"> </w:t>
      </w:r>
      <w:r>
        <w:rPr>
          <w:rFonts w:cs="Times New Roman" w:ascii="Times New Roman" w:hAnsi="Times New Roman"/>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Российской Федерации от 27.12.2004 №861</w:t>
      </w:r>
    </w:p>
  </w:footnote>
  <w:footnote w:id="3">
    <w:p>
      <w:pPr>
        <w:pStyle w:val="Normal"/>
        <w:spacing w:lineRule="auto" w:line="240" w:before="0" w:after="0"/>
        <w:jc w:val="both"/>
        <w:rPr>
          <w:rFonts w:ascii="Times New Roman" w:hAnsi="Times New Roman" w:cs="Times New Roman"/>
          <w:sz w:val="20"/>
          <w:szCs w:val="20"/>
        </w:rPr>
      </w:pPr>
      <w:r>
        <w:rPr>
          <w:rStyle w:val="Style17"/>
        </w:rPr>
        <w:footnoteRef/>
      </w:r>
      <w:r>
        <w:rPr>
          <w:rFonts w:eastAsia="Times New Roman" w:cs="Times New Roman" w:ascii="Times New Roman" w:hAnsi="Times New Roman"/>
          <w:sz w:val="20"/>
          <w:szCs w:val="20"/>
          <w:lang w:eastAsia="ru-RU"/>
        </w:rPr>
        <w:t xml:space="preserve">Основы функционирования розничных рынков электрической энергии, утвержденные </w:t>
      </w:r>
      <w:r>
        <w:rPr>
          <w:rFonts w:cs="Times New Roman" w:ascii="Times New Roman" w:hAnsi="Times New Roman"/>
          <w:sz w:val="20"/>
          <w:szCs w:val="20"/>
        </w:rPr>
        <w:t>постановлением Правительства РФ от 04.05.2012 № 442</w:t>
      </w:r>
    </w:p>
  </w:footnote>
</w:footnotes>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4377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rsid w:val="00c05a4f"/>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BalloonText"/>
    <w:uiPriority w:val="99"/>
    <w:semiHidden/>
    <w:qFormat/>
    <w:rsid w:val="00326913"/>
    <w:rPr>
      <w:rFonts w:ascii="Tahoma" w:hAnsi="Tahoma" w:cs="Tahoma"/>
      <w:sz w:val="16"/>
      <w:szCs w:val="16"/>
    </w:rPr>
  </w:style>
  <w:style w:type="character" w:styleId="Strong">
    <w:name w:val="Strong"/>
    <w:basedOn w:val="DefaultParagraphFont"/>
    <w:uiPriority w:val="22"/>
    <w:qFormat/>
    <w:rsid w:val="00022f24"/>
    <w:rPr>
      <w:b/>
      <w:bCs/>
    </w:rPr>
  </w:style>
  <w:style w:type="character" w:styleId="CommentReference">
    <w:name w:val="annotation reference"/>
    <w:basedOn w:val="DefaultParagraphFont"/>
    <w:uiPriority w:val="99"/>
    <w:semiHidden/>
    <w:unhideWhenUsed/>
    <w:qFormat/>
    <w:rsid w:val="00584bd8"/>
    <w:rPr>
      <w:sz w:val="16"/>
      <w:szCs w:val="16"/>
    </w:rPr>
  </w:style>
  <w:style w:type="character" w:styleId="Style14" w:customStyle="1">
    <w:name w:val="Текст примечания Знак"/>
    <w:basedOn w:val="DefaultParagraphFont"/>
    <w:uiPriority w:val="99"/>
    <w:semiHidden/>
    <w:qFormat/>
    <w:rsid w:val="00584bd8"/>
    <w:rPr>
      <w:sz w:val="20"/>
      <w:szCs w:val="20"/>
    </w:rPr>
  </w:style>
  <w:style w:type="character" w:styleId="Style15" w:customStyle="1">
    <w:name w:val="Тема примечания Знак"/>
    <w:basedOn w:val="Style14"/>
    <w:link w:val="annotationsubject"/>
    <w:uiPriority w:val="99"/>
    <w:semiHidden/>
    <w:qFormat/>
    <w:rsid w:val="00584bd8"/>
    <w:rPr>
      <w:b/>
      <w:bCs/>
      <w:sz w:val="20"/>
      <w:szCs w:val="20"/>
    </w:rPr>
  </w:style>
  <w:style w:type="character" w:styleId="Style16" w:customStyle="1">
    <w:name w:val="Текст сноски Знак"/>
    <w:basedOn w:val="DefaultParagraphFont"/>
    <w:uiPriority w:val="99"/>
    <w:qFormat/>
    <w:rsid w:val="00dc7ca8"/>
    <w:rPr>
      <w:sz w:val="20"/>
      <w:szCs w:val="20"/>
    </w:rPr>
  </w:style>
  <w:style w:type="character" w:styleId="Style17">
    <w:name w:val="Символ сноски"/>
    <w:basedOn w:val="DefaultParagraphFont"/>
    <w:uiPriority w:val="99"/>
    <w:unhideWhenUsed/>
    <w:qFormat/>
    <w:rsid w:val="00dc7ca8"/>
    <w:rPr>
      <w:vertAlign w:val="superscript"/>
    </w:rPr>
  </w:style>
  <w:style w:type="character" w:styleId="FootnoteReference">
    <w:name w:val="footnote reference"/>
    <w:rPr>
      <w:vertAlign w:val="superscript"/>
    </w:rPr>
  </w:style>
  <w:style w:type="character" w:styleId="Style18" w:customStyle="1">
    <w:name w:val="Схема документа Знак"/>
    <w:basedOn w:val="DefaultParagraphFont"/>
    <w:link w:val="DocumentMap"/>
    <w:uiPriority w:val="99"/>
    <w:semiHidden/>
    <w:qFormat/>
    <w:rsid w:val="00d679fc"/>
    <w:rPr>
      <w:rFonts w:ascii="Tahoma" w:hAnsi="Tahoma" w:cs="Tahoma"/>
      <w:sz w:val="16"/>
      <w:szCs w:val="16"/>
    </w:rPr>
  </w:style>
  <w:style w:type="character" w:styleId="1" w:customStyle="1">
    <w:name w:val="Заголовок 1 Знак"/>
    <w:basedOn w:val="DefaultParagraphFont"/>
    <w:uiPriority w:val="9"/>
    <w:qFormat/>
    <w:rsid w:val="00c05a4f"/>
    <w:rPr>
      <w:rFonts w:ascii="Cambria" w:hAnsi="Cambria" w:eastAsia="" w:cs="" w:asciiTheme="majorHAnsi" w:cstheme="majorBidi" w:eastAsiaTheme="majorEastAsia" w:hAnsiTheme="majorHAnsi"/>
      <w:b/>
      <w:bCs/>
      <w:color w:themeColor="accent1" w:themeShade="bf" w:val="365F91"/>
      <w:sz w:val="28"/>
      <w:szCs w:val="28"/>
    </w:rPr>
  </w:style>
  <w:style w:type="character" w:styleId="PageNumber">
    <w:name w:val="page number"/>
    <w:basedOn w:val="DefaultParagraphFont"/>
    <w:rsid w:val="00e70070"/>
    <w:rPr/>
  </w:style>
  <w:style w:type="character" w:styleId="Hyperlink">
    <w:name w:val="Hyperlink"/>
    <w:basedOn w:val="DefaultParagraphFont"/>
    <w:uiPriority w:val="99"/>
    <w:unhideWhenUsed/>
    <w:rsid w:val="00e24b2d"/>
    <w:rPr>
      <w:color w:val="0000FF"/>
      <w:u w:val="single"/>
    </w:rPr>
  </w:style>
  <w:style w:type="character" w:styleId="Style19" w:customStyle="1">
    <w:name w:val="Верхний колонтитул Знак"/>
    <w:basedOn w:val="DefaultParagraphFont"/>
    <w:uiPriority w:val="99"/>
    <w:qFormat/>
    <w:rsid w:val="00284c04"/>
    <w:rPr/>
  </w:style>
  <w:style w:type="character" w:styleId="Style20" w:customStyle="1">
    <w:name w:val="Нижний колонтитул Знак"/>
    <w:basedOn w:val="DefaultParagraphFont"/>
    <w:uiPriority w:val="99"/>
    <w:qFormat/>
    <w:rsid w:val="00284c04"/>
    <w:rPr/>
  </w:style>
  <w:style w:type="character" w:styleId="EndnoteReference">
    <w:name w:val="endnote reference"/>
    <w:rPr>
      <w:vertAlign w:val="superscript"/>
    </w:rPr>
  </w:style>
  <w:style w:type="character" w:styleId="Style21">
    <w:name w:val="Символ концевой сноски"/>
    <w:qFormat/>
    <w:rPr/>
  </w:style>
  <w:style w:type="paragraph" w:styleId="Style22">
    <w:name w:val="Заголовок"/>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3">
    <w:name w:val="Указатель"/>
    <w:basedOn w:val="Normal"/>
    <w:qFormat/>
    <w:pPr>
      <w:suppressLineNumbers/>
    </w:pPr>
    <w:rPr>
      <w:rFonts w:cs="Arial Unicode MS"/>
    </w:rPr>
  </w:style>
  <w:style w:type="paragraph" w:styleId="ConsPlusNormal" w:customStyle="1">
    <w:name w:val="ConsPlusNormal"/>
    <w:qFormat/>
    <w:rsid w:val="000653f9"/>
    <w:pPr>
      <w:widowControl/>
      <w:bidi w:val="0"/>
      <w:spacing w:lineRule="auto" w:line="240" w:before="0" w:after="0"/>
      <w:jc w:val="left"/>
    </w:pPr>
    <w:rPr>
      <w:rFonts w:ascii="Arial" w:hAnsi="Arial" w:cs="Arial" w:eastAsia="Calibri" w:eastAsiaTheme="minorHAnsi"/>
      <w:color w:val="auto"/>
      <w:kern w:val="0"/>
      <w:sz w:val="20"/>
      <w:szCs w:val="20"/>
      <w:lang w:val="ru-RU" w:eastAsia="en-US" w:bidi="ar-SA"/>
    </w:rPr>
  </w:style>
  <w:style w:type="paragraph" w:styleId="ConsPlusNonformat" w:customStyle="1">
    <w:name w:val="ConsPlusNonformat"/>
    <w:uiPriority w:val="99"/>
    <w:qFormat/>
    <w:rsid w:val="000653f9"/>
    <w:pPr>
      <w:widowControl/>
      <w:bidi w:val="0"/>
      <w:spacing w:lineRule="auto" w:line="240" w:before="0" w:after="0"/>
      <w:jc w:val="left"/>
    </w:pPr>
    <w:rPr>
      <w:rFonts w:ascii="Courier New" w:hAnsi="Courier New" w:cs="Courier New" w:eastAsia="Calibri" w:eastAsiaTheme="minorHAnsi"/>
      <w:color w:val="auto"/>
      <w:kern w:val="0"/>
      <w:sz w:val="20"/>
      <w:szCs w:val="20"/>
      <w:lang w:val="ru-RU" w:eastAsia="en-US" w:bidi="ar-SA"/>
    </w:rPr>
  </w:style>
  <w:style w:type="paragraph" w:styleId="ListParagraph">
    <w:name w:val="List Paragraph"/>
    <w:basedOn w:val="Normal"/>
    <w:uiPriority w:val="34"/>
    <w:qFormat/>
    <w:rsid w:val="00666e7c"/>
    <w:pPr>
      <w:spacing w:before="0" w:after="200"/>
      <w:ind w:left="720"/>
      <w:contextualSpacing/>
    </w:pPr>
    <w:rPr/>
  </w:style>
  <w:style w:type="paragraph" w:styleId="BalloonText">
    <w:name w:val="Balloon Text"/>
    <w:basedOn w:val="Normal"/>
    <w:link w:val="Style13"/>
    <w:uiPriority w:val="99"/>
    <w:semiHidden/>
    <w:unhideWhenUsed/>
    <w:qFormat/>
    <w:rsid w:val="00326913"/>
    <w:pPr>
      <w:spacing w:lineRule="auto" w:line="240" w:before="0" w:after="0"/>
    </w:pPr>
    <w:rPr>
      <w:rFonts w:ascii="Tahoma" w:hAnsi="Tahoma" w:cs="Tahoma"/>
      <w:sz w:val="16"/>
      <w:szCs w:val="16"/>
    </w:rPr>
  </w:style>
  <w:style w:type="paragraph" w:styleId="Default" w:customStyle="1">
    <w:name w:val="Default"/>
    <w:qFormat/>
    <w:rsid w:val="00e36f56"/>
    <w:pPr>
      <w:widowControl/>
      <w:bidi w:val="0"/>
      <w:spacing w:lineRule="auto" w:line="240" w:before="0" w:after="0"/>
      <w:jc w:val="left"/>
    </w:pPr>
    <w:rPr>
      <w:rFonts w:ascii="Calibri" w:hAnsi="Calibri" w:cs="Calibri" w:eastAsia="Calibri"/>
      <w:color w:val="000000"/>
      <w:kern w:val="0"/>
      <w:sz w:val="24"/>
      <w:szCs w:val="24"/>
      <w:lang w:val="ru-RU" w:eastAsia="en-US" w:bidi="ar-SA"/>
    </w:rPr>
  </w:style>
  <w:style w:type="paragraph" w:styleId="CommentText">
    <w:name w:val="annotation text"/>
    <w:basedOn w:val="Normal"/>
    <w:link w:val="Style14"/>
    <w:uiPriority w:val="99"/>
    <w:semiHidden/>
    <w:unhideWhenUsed/>
    <w:rsid w:val="00584bd8"/>
    <w:pPr>
      <w:spacing w:lineRule="auto" w:line="240"/>
    </w:pPr>
    <w:rPr>
      <w:sz w:val="20"/>
      <w:szCs w:val="20"/>
    </w:rPr>
  </w:style>
  <w:style w:type="paragraph" w:styleId="annotationsubject">
    <w:name w:val="annotation subject"/>
    <w:basedOn w:val="CommentText"/>
    <w:next w:val="CommentText"/>
    <w:link w:val="Style15"/>
    <w:uiPriority w:val="99"/>
    <w:semiHidden/>
    <w:unhideWhenUsed/>
    <w:qFormat/>
    <w:rsid w:val="00584bd8"/>
    <w:pPr/>
    <w:rPr>
      <w:b/>
      <w:bCs/>
    </w:rPr>
  </w:style>
  <w:style w:type="paragraph" w:styleId="FootnoteText">
    <w:name w:val="footnote text"/>
    <w:basedOn w:val="Normal"/>
    <w:link w:val="Style16"/>
    <w:uiPriority w:val="99"/>
    <w:unhideWhenUsed/>
    <w:rsid w:val="00dc7ca8"/>
    <w:pPr>
      <w:spacing w:lineRule="auto" w:line="240" w:before="0" w:after="0"/>
    </w:pPr>
    <w:rPr>
      <w:sz w:val="20"/>
      <w:szCs w:val="20"/>
    </w:rPr>
  </w:style>
  <w:style w:type="paragraph" w:styleId="DocumentMap">
    <w:name w:val="Document Map"/>
    <w:basedOn w:val="Normal"/>
    <w:link w:val="Style18"/>
    <w:uiPriority w:val="99"/>
    <w:semiHidden/>
    <w:unhideWhenUsed/>
    <w:qFormat/>
    <w:rsid w:val="00d679fc"/>
    <w:pPr>
      <w:spacing w:lineRule="auto" w:line="240" w:before="0" w:after="0"/>
    </w:pPr>
    <w:rPr>
      <w:rFonts w:ascii="Tahoma" w:hAnsi="Tahoma" w:cs="Tahoma"/>
      <w:sz w:val="16"/>
      <w:szCs w:val="16"/>
    </w:rPr>
  </w:style>
  <w:style w:type="paragraph" w:styleId="Style24" w:customStyle="1">
    <w:name w:val="Нормальный (таблица)"/>
    <w:basedOn w:val="Normal"/>
    <w:next w:val="Normal"/>
    <w:uiPriority w:val="99"/>
    <w:qFormat/>
    <w:rsid w:val="00ca183b"/>
    <w:pPr>
      <w:widowControl w:val="false"/>
      <w:spacing w:lineRule="auto" w:line="240" w:before="0" w:after="0"/>
      <w:jc w:val="both"/>
    </w:pPr>
    <w:rPr>
      <w:rFonts w:ascii="Arial" w:hAnsi="Arial" w:eastAsia="" w:cs="Arial" w:eastAsiaTheme="minorEastAsia"/>
      <w:sz w:val="24"/>
      <w:szCs w:val="24"/>
      <w:lang w:eastAsia="ru-RU"/>
    </w:rPr>
  </w:style>
  <w:style w:type="paragraph" w:styleId="Style25" w:customStyle="1">
    <w:name w:val="МРСК_таблица_текст"/>
    <w:basedOn w:val="Normal"/>
    <w:qFormat/>
    <w:rsid w:val="0040345c"/>
    <w:pPr>
      <w:keepNext w:val="true"/>
      <w:spacing w:lineRule="auto" w:line="240" w:before="0" w:after="0"/>
      <w:jc w:val="both"/>
    </w:pPr>
    <w:rPr>
      <w:rFonts w:ascii="Times New Roman" w:hAnsi="Times New Roman" w:eastAsia="Times New Roman" w:cs="Times New Roman"/>
      <w:sz w:val="20"/>
      <w:szCs w:val="20"/>
      <w:lang w:eastAsia="ru-RU"/>
    </w:rPr>
  </w:style>
  <w:style w:type="paragraph" w:styleId="HeaderandFooter">
    <w:name w:val="Header and Footer"/>
    <w:basedOn w:val="Normal"/>
    <w:qFormat/>
    <w:pPr/>
    <w:rPr/>
  </w:style>
  <w:style w:type="paragraph" w:styleId="Header">
    <w:name w:val="header"/>
    <w:basedOn w:val="Normal"/>
    <w:link w:val="Style19"/>
    <w:uiPriority w:val="99"/>
    <w:unhideWhenUsed/>
    <w:rsid w:val="00284c04"/>
    <w:pPr>
      <w:tabs>
        <w:tab w:val="clear" w:pos="708"/>
        <w:tab w:val="center" w:pos="4677" w:leader="none"/>
        <w:tab w:val="right" w:pos="9355" w:leader="none"/>
      </w:tabs>
      <w:spacing w:lineRule="auto" w:line="240" w:before="0" w:after="0"/>
    </w:pPr>
    <w:rPr/>
  </w:style>
  <w:style w:type="paragraph" w:styleId="Footer">
    <w:name w:val="footer"/>
    <w:basedOn w:val="Normal"/>
    <w:link w:val="Style20"/>
    <w:uiPriority w:val="99"/>
    <w:unhideWhenUsed/>
    <w:rsid w:val="00284c04"/>
    <w:pPr>
      <w:tabs>
        <w:tab w:val="clear" w:pos="708"/>
        <w:tab w:val="center" w:pos="4677" w:leader="none"/>
        <w:tab w:val="right" w:pos="9355" w:leader="none"/>
      </w:tabs>
      <w:spacing w:lineRule="auto" w:line="240" w:before="0" w:after="0"/>
    </w:pPr>
    <w:rPr/>
  </w:style>
  <w:style w:type="numbering" w:styleId="Style26"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11">
    <w:name w:val="Светлая заливка - Акцент 11"/>
    <w:basedOn w:val="a1"/>
    <w:uiPriority w:val="60"/>
    <w:rsid w:val="008c2e25"/>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Светлый список - Акцент 11"/>
    <w:basedOn w:val="a1"/>
    <w:uiPriority w:val="61"/>
    <w:rsid w:val="00dc7ca8"/>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E111A5B5095EE125EE200E513B9061071F5540C5EC9F281248AB5EA8A5A20B361012ADB18yCw4N" TargetMode="External"/><Relationship Id="rId3" Type="http://schemas.openxmlformats.org/officeDocument/2006/relationships/hyperlink" Target="consultantplus://offline/ref=0E111A5B5095EE125EE200E513B9061071F5540C5EC9F281248AB5EA8A5A20B361012ADB18yCw4N" TargetMode="External"/><Relationship Id="rId4" Type="http://schemas.openxmlformats.org/officeDocument/2006/relationships/hyperlink" Target="consultantplus://offline/ref=0E111A5B5095EE125EE200E513B9061071F5540C5EC9F281248AB5EA8A5A20B361012ADB18yCw4N" TargetMode="External"/><Relationship Id="rId5" Type="http://schemas.openxmlformats.org/officeDocument/2006/relationships/hyperlink" Target="mailto:mrsk@mrsks.ru%20%20%20%20%20%20%20%20%20%20%20%20%20%20%20%20%20%20%20%20%20%20%20%20%20%20%20" TargetMode="Externa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1A856-2686-4351-AF46-05E3447D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Application>LibreOffice/25.2.1.2$Windows_X86_64 LibreOffice_project/d3abf4aee5fd705e4a92bba33a32f40bc4e56f49</Application>
  <AppVersion>15.0000</AppVersion>
  <Pages>9</Pages>
  <Words>1757</Words>
  <Characters>13023</Characters>
  <CharactersWithSpaces>14649</CharactersWithSpaces>
  <Paragraphs>179</Paragraphs>
  <Company>МРСК Сибири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2018-05-15T04:51:00Z</dcterms:created>
  <dc:creator>Куличкова Светлана Викторовна</dc:creator>
  <dc:description/>
  <dc:language>ru-RU</dc:language>
  <cp:lastModifiedBy/>
  <cp:lastPrinted>2014-08-01T10:40:00Z</cp:lastPrinted>
  <dcterms:modified xsi:type="dcterms:W3CDTF">2025-03-31T16:44:53Z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