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30" w:rsidRDefault="00FA7330" w:rsidP="00B876D9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FA7330" w:rsidRPr="00FA7330" w:rsidRDefault="00FA7330" w:rsidP="00FA733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lang w:eastAsia="ru-RU"/>
        </w:rPr>
      </w:pPr>
      <w:r w:rsidRPr="00FA7330"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lang w:eastAsia="ru-RU"/>
        </w:rPr>
        <w:t>О пор</w:t>
      </w:r>
      <w:r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lang w:eastAsia="ru-RU"/>
        </w:rPr>
        <w:t>ядке выполнения технологических</w:t>
      </w:r>
      <w:r w:rsidRPr="00FA7330"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lang w:eastAsia="ru-RU"/>
        </w:rPr>
        <w:t>, технических и других мероприятий связанных с технологическим присоединением  к электрическим сетям</w:t>
      </w:r>
    </w:p>
    <w:p w:rsidR="0066661C" w:rsidRPr="0066661C" w:rsidRDefault="0066661C" w:rsidP="00B876D9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  <w:r w:rsidRPr="0066661C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Преддоговорная работа</w:t>
      </w:r>
    </w:p>
    <w:p w:rsidR="00BC223D" w:rsidRDefault="0066661C" w:rsidP="00FA733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B876D9"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заявки на технологическое присоединение, заполненной по установленной форме с предоставлением полного пакета документов.</w:t>
      </w:r>
      <w:r w:rsidR="00B876D9"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876D9"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заключения договора заявитель направляет заявку в сетевую организацию, объекты </w:t>
      </w:r>
      <w:proofErr w:type="spellStart"/>
      <w:r w:rsidR="00B876D9"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="00B876D9"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которой расположены на наименьшем расстоянии от границ участка заявителя. Если на расстоянии менее 300 метров от границ участка заявителя находятся объекты </w:t>
      </w:r>
      <w:proofErr w:type="spellStart"/>
      <w:r w:rsidR="00B876D9"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="00B876D9"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нескольких сетевых организаций, заявитель вправе направить заявку в любую из них. </w:t>
      </w:r>
    </w:p>
    <w:p w:rsidR="00BC223D" w:rsidRDefault="00B876D9" w:rsidP="00FA733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положения не распространяются на заявителей, имеющих намерение осуществить технологическое присоединение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 </w:t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проекту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технологического присоединения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находящихся в нежилых помещениях, расположенных в многоквартирных домах и иных объектах капитального строительства, заявка на технологическое присоединение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подается в сетевую организацию, к объектам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нежилым помещением.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технологического присоединения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находящихся в жилых помещениях, в том числе расположенных в многоквартирных домах, заявка на технологическое присоединение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подается в сетевую организацию, к объектам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жилых помещений, в том числе в многоквартирном доме, а при непосредственном управлении многоквартирным домом -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технологического присоединения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принадлежащих садоводческому, огородническому или дачному некоммерческому объединению либо его членам, заявка на технологическое присоединение этих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подается в сетевую организацию указанным некоммерческим объединением либо его представителем. </w:t>
      </w:r>
    </w:p>
    <w:p w:rsidR="00B876D9" w:rsidRPr="00B876D9" w:rsidRDefault="00B876D9" w:rsidP="00FA733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технологического присоединения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принадлежащих гражданам,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и иным лицам, расположенным на территории садоводческого, огороднического или дачного некоммерческого объединения, заявка на технологическое присоединение этих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подается в сетевую организацию непосредственно гражданами, ведущими садоводство, огородничество или дачное хозяйство в индивидуальном порядке на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садоводческого, огороднического или дачного некоммерческого объединения, или иными лицами. </w:t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Технологическое присоединение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принадлежащих гражданам,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и иным лицам, расположенным на территории садоводческого, огороднического или дачного некоммерческого объединения, осуществляется к сетям сетевой организации непосредственно или с использованием объектов инфраструктуры и другого имущества общего пользования этого объединения.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технологическое присоединение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принадлежащих гражданам,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осуществляется с использованием объектов инфраструктуры и другого имущества общего пользования этого объединения, указанные граждане заключают с этим объединением договор использования объектов инфраструктуры и другого имущества общего пользования в соответствии с Федеральным законом "О садоводческих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огороднических и дачных некоммерческих </w:t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граждан".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заявке, направляемой заявителем, должны быть указаны следующие сведения: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физических лиц, с запрашиваемой максимальной мощностью </w:t>
      </w:r>
      <w:proofErr w:type="spell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устройств до 15 к</w:t>
      </w:r>
      <w:proofErr w:type="gram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 вкл</w:t>
      </w:r>
      <w:proofErr w:type="gram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ючительно (с учетом ранее присоединенных в данной точке присоединения </w:t>
      </w:r>
      <w:proofErr w:type="spell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 и электроснабжение которых предусматривается по одному источнику питания:</w:t>
      </w:r>
    </w:p>
    <w:p w:rsidR="00B876D9" w:rsidRPr="00B876D9" w:rsidRDefault="00B876D9" w:rsidP="00FA733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заявителя, серия, номер и дата выдачи паспорта или иного документа, удостоверяющего личность в соответствии с законодательством Российской Федерации;</w:t>
      </w:r>
    </w:p>
    <w:p w:rsidR="00B876D9" w:rsidRPr="00B876D9" w:rsidRDefault="00B876D9" w:rsidP="00FA733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заявителя;</w:t>
      </w:r>
    </w:p>
    <w:p w:rsidR="00B876D9" w:rsidRPr="00B876D9" w:rsidRDefault="00B876D9" w:rsidP="00FA733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место нахождения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которые необходимо присоединить к электрическим сетям сетевой организации;</w:t>
      </w:r>
    </w:p>
    <w:p w:rsidR="00B876D9" w:rsidRPr="00B876D9" w:rsidRDefault="00B876D9" w:rsidP="00FA733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проектирования и поэтапного введения в эксплуатацию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(в том числе по этапам и очередям);</w:t>
      </w:r>
    </w:p>
    <w:p w:rsidR="00B876D9" w:rsidRPr="00B876D9" w:rsidRDefault="00B876D9" w:rsidP="00FA733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запрашиваемая максимальная мощность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заявителя;</w:t>
      </w:r>
    </w:p>
    <w:p w:rsidR="00B876D9" w:rsidRPr="00B876D9" w:rsidRDefault="00B876D9" w:rsidP="00FA733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с указанием соответствующего вида договора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осуществляется, для передачи сетевой организацией такому субъекту в порядке, предусмотренном Правилами технологического присоединения, копии договора и иных документов заявителя, предусмотренных пунктом 34 Основных положений функционирования розничных рынков электрической энергии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в случае отсутствия заключенного договора энергоснабжения (купли-продажи (поставки) электрической энергии (мощности))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осуществляется).</w:t>
      </w:r>
    </w:p>
    <w:p w:rsidR="00B876D9" w:rsidRPr="00B876D9" w:rsidRDefault="00B876D9" w:rsidP="00FA733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юридических лиц или индивидуальных предпринимателей, максимальная мощность </w:t>
      </w:r>
      <w:proofErr w:type="spell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устройств которых составляет до 150 к</w:t>
      </w:r>
      <w:proofErr w:type="gram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 вкл</w:t>
      </w:r>
      <w:proofErr w:type="gram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ючительно (с учетом ранее присоединенных в данной точке присоединения </w:t>
      </w:r>
      <w:proofErr w:type="spell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устройств) и электроснабжение которых предусматривается по второй или третьей категории надежности: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реквизиты заявителя (для юридических лиц – полное наименование и номер записи в Едином государственном реестре юридических лиц, для индивидуальных предпринимателей – номер записи в Едином государственном реестре индивидуальных предпринимателей и дата ее внесения в реестр);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местонахождение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которые необходимо присоединить к электрическим сетям сетевой организации;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заявителя (юридический, почтовый адреса);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точек присоединения с указанием технических параметров элементов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заявляемая категория надежности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проектирования и поэтапного введения в эксплуатацию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(в том числе по этапам и очередям);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планируемое распределение максимальной мощности, сроков ввода и сведения о категории надежности электроснабжения при вводе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 этапам и очередям;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запрашиваемая максимальная мощность присоединяемых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нагрузки (вид экономической деятельности хозяйствующего субъекта);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порядку расчетов и условиям рассрочки внесения платы за технологическое присоединение – для заявителей, максимальная мощность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составляет свыше 15 кВт и до 150 к</w:t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Вт вкл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ючительно;</w:t>
      </w:r>
    </w:p>
    <w:p w:rsidR="00B876D9" w:rsidRPr="00B876D9" w:rsidRDefault="00B876D9" w:rsidP="00FA733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с указанием соответствующего вида договора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осуществляется, для передачи сетевой организацией такому субъекту в порядке, предусмотренном Правилами технологического присоединения, копии договора и иных документов заявителя, предусмотренных пунктом 34 Основных положений функционирования розничных рынков электрической энергии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в случае отсутствия заключенного договора энергоснабжения (купли-продажи (поставки) электрической энергии (мощности))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осуществляется).</w:t>
      </w:r>
    </w:p>
    <w:p w:rsidR="00B876D9" w:rsidRPr="00B876D9" w:rsidRDefault="00B876D9" w:rsidP="00B876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юридических лиц или индивидуальных предпринимателей, максимальная мощность </w:t>
      </w:r>
      <w:proofErr w:type="spell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устройств которых свыше 150 кВт и менее 670 кВт: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заявителя (для юридических лиц – полное наименование и номер записи в Едином государственном реестре юридических лиц, для индивидуальных предпринимателей – номер записи в Едином государственном реестре индивидуальных предпринимателей и дата ее внесения в реестр);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местонахождение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которые необходимо присоединить к электрическим сетям сетевой организации;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заявителя (юридический, почтовый адреса);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точек присоединения с указанием технических параметров элементов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устройств;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заявляемая категория надежности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устройств;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проектирования и поэтапного введения в эксплуатацию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(в том числе по этапам и очередям);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планируемое распределение максимальной мощности, сроков ввода и сведения о категории надежности электроснабжения при вводе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 этапам и очередям;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запрашиваемая максимальная мощность присоединяемых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заявителя;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нагрузки (вид производственной деятельности);</w:t>
      </w:r>
    </w:p>
    <w:p w:rsidR="00B876D9" w:rsidRPr="00B876D9" w:rsidRDefault="00B876D9" w:rsidP="00FA733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с указанием соответствующего вида договора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осуществляется, для передачи сетевой организацией такому субъекту в порядке, предусмотренном Правилами технологического присоединения, копии договора и иных документов заявителя, предусмотренных пунктом 34 Основных положений функционирования розничных рынков электрической энергии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в случае отсутствия заключенного договора энергоснабжения (купли-продажи (поставки) электрической энергии (мощности))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осуществляется).</w:t>
      </w:r>
    </w:p>
    <w:p w:rsidR="00B876D9" w:rsidRPr="00B876D9" w:rsidRDefault="00B876D9" w:rsidP="00B876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лиц, подавших заявку в целях временного (на срок не более 12 месяцев) технологического присоединения принадлежащих ему </w:t>
      </w:r>
      <w:proofErr w:type="spell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устрой</w:t>
      </w:r>
      <w:proofErr w:type="gram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 дл</w:t>
      </w:r>
      <w:proofErr w:type="gram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 обеспечения электрической энергией передвижных объектов с максимальной мощностью до 150 кВт включительно (с учетом ранее присоединенных в данной точке присоединения </w:t>
      </w:r>
      <w:proofErr w:type="spellStart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устройств)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76D9" w:rsidRPr="00B876D9" w:rsidRDefault="00B876D9" w:rsidP="00FA733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Федерации);</w:t>
      </w:r>
      <w:proofErr w:type="gramEnd"/>
    </w:p>
    <w:p w:rsidR="00B876D9" w:rsidRPr="00B876D9" w:rsidRDefault="00B876D9" w:rsidP="00FA733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место нахождения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которые необходимо присоединить к электрическим сетям сетевой организации;</w:t>
      </w:r>
    </w:p>
    <w:p w:rsidR="00B876D9" w:rsidRPr="00B876D9" w:rsidRDefault="00B876D9" w:rsidP="00FA733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заявителя;</w:t>
      </w:r>
    </w:p>
    <w:p w:rsidR="00B876D9" w:rsidRPr="00B876D9" w:rsidRDefault="00B876D9" w:rsidP="00FA733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запрашиваемая максимальная мощность присоединяемых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заявителя;</w:t>
      </w:r>
    </w:p>
    <w:p w:rsidR="00B876D9" w:rsidRPr="00B876D9" w:rsidRDefault="00B876D9" w:rsidP="00FA733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нагрузки (вид экономической деятельности хозяйствующего субъекта);</w:t>
      </w:r>
    </w:p>
    <w:p w:rsidR="00B876D9" w:rsidRPr="00B876D9" w:rsidRDefault="00B876D9" w:rsidP="00FA733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электроснабжения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 временной схеме электроснабжения;</w:t>
      </w:r>
    </w:p>
    <w:p w:rsidR="00B876D9" w:rsidRPr="00B876D9" w:rsidRDefault="00B876D9" w:rsidP="00FA733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с указанием соответствующего вида договора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осуществляется, для передачи сетевой организацией такому субъекту в порядке, предусмотренном Правилами технологического присоединения, копии договора и иных документов заявителя, предусмотренных пунктом 34 Основных положений функционирования розничных рынков электрической энергии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в случае отсутствия заключенного договора энергоснабжения (купли-продажи (поставки) электрической энергии (мощности))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осуществляется).</w:t>
      </w:r>
    </w:p>
    <w:p w:rsidR="00B876D9" w:rsidRPr="00B876D9" w:rsidRDefault="00B876D9" w:rsidP="00B876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юридических лиц, за исключением выше перечисленных: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Федерации);</w:t>
      </w:r>
      <w:proofErr w:type="gramEnd"/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место нахождения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которые необходимо присоединить к электрическим сетям сетевой организации;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 нахождения заявителя;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запрашиваемая максимальная мощность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и их технические характеристики, количество, мощность генераторов и присоединяемых к сети трансформаторов;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точек присоединения с указанием технических параметров элементов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заявляемая категория надежности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заявляемый характер нагрузки (для генераторов -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несимметрию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 в точках присоединения;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и обоснование величины технологического минимума (для генераторов), технологической и аварийной брони (для потребителей электрической энергии);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наличия технологической и (или) аварийной брони;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проектирования и поэтапного введения в эксплуатацию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(в том числе по этапам и очередям);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планируемое распределение максимальной мощности, сроков ввода и сведения о категории надежности электроснабжения при вводе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 этапам и очередям;</w:t>
      </w:r>
    </w:p>
    <w:p w:rsidR="00B876D9" w:rsidRPr="00B876D9" w:rsidRDefault="00B876D9" w:rsidP="00FA7330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с указанием соответствующего вида договора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осуществляется, для передачи сетевой организацией такому субъекту в порядке, предусмотренном Правилами технологического присоединения, копии договора и иных документов заявителя, предусмотренных пунктом 34 Основных положений функционирования розничных рынков электрической энергии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в случае отсутствия заключенного договора энергоснабжения (купли-продажи (поставки) электрической энергии (мощности)) в отношении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осуществляется).</w:t>
      </w:r>
    </w:p>
    <w:p w:rsidR="00B876D9" w:rsidRPr="00B876D9" w:rsidRDefault="00B876D9" w:rsidP="00B876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заявке прилагаются следующие документы:</w:t>
      </w:r>
    </w:p>
    <w:p w:rsidR="00B876D9" w:rsidRPr="00B876D9" w:rsidRDefault="00B876D9" w:rsidP="00FA73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расположения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которые необходимо присоединить к электрическим сетям сетевой организации (ситуационный план с привязкой к местности);</w:t>
      </w:r>
    </w:p>
    <w:p w:rsidR="00B876D9" w:rsidRPr="00B876D9" w:rsidRDefault="00B876D9" w:rsidP="00FA73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 мощность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которые могут быть присоединены к устройствам противоаварийной автоматики;</w:t>
      </w:r>
    </w:p>
    <w:p w:rsidR="00B876D9" w:rsidRPr="00B876D9" w:rsidRDefault="00B876D9" w:rsidP="00FA73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(для заявителей, планирующих осуществить технологическое присоединение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потребителей, расположенных в нежилых помещениях многоквартирных домов или иных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строительства);</w:t>
      </w:r>
    </w:p>
    <w:p w:rsidR="00B876D9" w:rsidRPr="00B876D9" w:rsidRDefault="00B876D9" w:rsidP="00FA73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заявителя;</w:t>
      </w:r>
    </w:p>
    <w:p w:rsidR="00B876D9" w:rsidRPr="00B876D9" w:rsidRDefault="00B876D9" w:rsidP="00FA73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однолинейная схема электрических сетей заявителя, присоединяемых к электрическим сетям сетевой организации, номинальный класс напряжения которых составляет 35 кВ и выше, с указанием возможности резервирования от собственных источников 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энергоснабжения (включая резервирование для собственных нужд) и возможности переключения нагрузок (генерации) по внутренним сетям заявителя;</w:t>
      </w:r>
    </w:p>
    <w:p w:rsidR="00B876D9" w:rsidRPr="00B876D9" w:rsidRDefault="00B876D9" w:rsidP="00FA73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технологического присоединения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находящихся в нежилых помещениях, расположенных в многоквартирных домах и иных объектах капитального строительства,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организации);</w:t>
      </w:r>
    </w:p>
    <w:p w:rsidR="00B876D9" w:rsidRPr="00B876D9" w:rsidRDefault="00B876D9" w:rsidP="00FA73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технологического присоединения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принадлежащих гражданам,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осуществляемого с использованием объектов инфраструктуры и другого имущества общего пользования этого объединения, - копия договора об использовании объектов инфраструктуры и другого имущества общего пользования;</w:t>
      </w:r>
    </w:p>
    <w:p w:rsidR="00B876D9" w:rsidRPr="00B876D9" w:rsidRDefault="00B876D9" w:rsidP="00FA733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заявителя, предусмотренные пунктом 34 основных положений функционирования розничных рынков электрической энергии, в случае, если в заявке указаны сведения о наименовании субъекта розничного </w:t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 заявитель намеревается заключить договор энергоснабжения или купли-продажи (поставки) электрической энергии (мощности).</w:t>
      </w:r>
    </w:p>
    <w:p w:rsidR="00BC223D" w:rsidRDefault="00B876D9" w:rsidP="00FA7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отсутствия в заявке всех необходимых сведений и документов, сетевая компания обяз</w:t>
      </w:r>
      <w:r w:rsidR="00BC22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 уведомить об этом заявителя.</w:t>
      </w:r>
    </w:p>
    <w:p w:rsidR="00BC223D" w:rsidRDefault="00BC223D" w:rsidP="00FA7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заявки.</w:t>
      </w:r>
    </w:p>
    <w:p w:rsidR="00B876D9" w:rsidRPr="00B876D9" w:rsidRDefault="00B876D9" w:rsidP="00FA733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Определение границ по балансовой принадлежности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Граница балансовой принадлежности определяется соглашением между заявителем и сетевой организацией и устанавливается:</w:t>
      </w:r>
    </w:p>
    <w:p w:rsidR="00B876D9" w:rsidRPr="00B876D9" w:rsidRDefault="00B876D9" w:rsidP="00FA733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физических лиц с максимальной мощностью до 15 кВт включительно устанавливаются на зажимах опоры </w:t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-0,23(0,38)-10 кВ в точке присоединения, на расстоянии в пределах 25 метров от границы участка, на котором располагаются (будут располагаться) присоединяемые объекты заявителя;</w:t>
      </w:r>
    </w:p>
    <w:p w:rsidR="00B876D9" w:rsidRPr="00B876D9" w:rsidRDefault="00B876D9" w:rsidP="00FA733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определяется соглашением между заявителем и сетевой организацией с учетом характера нагрузки и перспективного плана развития;</w:t>
      </w:r>
    </w:p>
    <w:p w:rsidR="00B876D9" w:rsidRPr="00B876D9" w:rsidRDefault="00B876D9" w:rsidP="00FA733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объектов социально-культурного характера и многоэтажных жилых домов устанавливаются </w:t>
      </w: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ВРУ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-0,4 кВ;</w:t>
      </w:r>
    </w:p>
    <w:p w:rsidR="00B876D9" w:rsidRPr="00B876D9" w:rsidRDefault="00B876D9" w:rsidP="00FA733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заявителей,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которых находятся в нежилых помещения расположенных в многоквартирных домах, под границей участка заявителя понимается граница балансовой принадлежности, определенная актом разграничения балансовой принадлежности между сетевой организацией и соответствующим многоквартирным домом, а при его отсутствии, если соглашением сторон не предусмотрено иное, границей участка заявителя является место соединения питающей линии сетевой организации с ближайшим к такому нежилому помещению 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предусмотренным</w:t>
      </w:r>
      <w:proofErr w:type="gram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проектом на многоквартирный дом вводным устройством (вводно-распределительным устройством, главным распределительным щитом), установленным на вводе питающей линии в соответствующее здание или его обособленную часть;</w:t>
      </w:r>
    </w:p>
    <w:p w:rsidR="00B876D9" w:rsidRPr="00B876D9" w:rsidRDefault="00B876D9" w:rsidP="00FA733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заявителей,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которых находятся в нежилых помещениях, расположенных в объектах капитального строительства, не относящихся к многоквартирным домам, под границей участка заявителя понимается подтверждаемая правоустанавливающими документами граница земельного участка, на котором расположен объект капитального строительства, в составе которого находятся принадлежащие на праве собственности или на ином законном основании </w:t>
      </w:r>
      <w:proofErr w:type="spellStart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заявителя.</w:t>
      </w:r>
      <w:proofErr w:type="gramEnd"/>
    </w:p>
    <w:p w:rsidR="008737CE" w:rsidRPr="00B46F8F" w:rsidRDefault="00B876D9" w:rsidP="00FA733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Заявители несут балансовую и эксплуатационную ответственность в границах своего участка, до границ участка заявителя балансовую и эксплуатационную ответственность несет сетевая организация, если иное не установлено соглашением между сетевой организацией и заявителем, заключенным на основании его обращения в сетевую организацию.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Технические условия, являясь приложением к договору об осуществлении технологического присоединения, заключенного между сетевой организацией и заявителем, содержат подробные требования к работам, выполняемым как заявителем, так и сетевой организацией.</w:t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737CE" w:rsidRPr="00B46F8F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Заключение договора</w:t>
      </w:r>
    </w:p>
    <w:p w:rsidR="008737CE" w:rsidRPr="008737CE" w:rsidRDefault="008737CE" w:rsidP="00FA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 осуществляется на основании договора об осуществлении технологического присоединения, заключаемого между сетевой организацией и юридическим или физическим лицом. Заключение договора является обязательным для сетевой организации.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убытков, причиненных таким необоснованным отказом или уклонением.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Сетевая организация направляет Заявителю для подписания, заполненные и подписанные 2 экземпляра проекта договора об осуществлении технологического присоединения:</w:t>
      </w:r>
    </w:p>
    <w:p w:rsidR="008737CE" w:rsidRPr="008737CE" w:rsidRDefault="008737CE" w:rsidP="00FA733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 рабочих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 для заявителей, осуществляющих технологическое присоединение по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проекту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37CE" w:rsidRPr="008737CE" w:rsidRDefault="008737CE" w:rsidP="00FA733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дней со дня регистрации заявки для заявителей, осуществляющих технологическое присоединение по временной схеме электроснабжения</w:t>
      </w:r>
    </w:p>
    <w:p w:rsidR="00B46F8F" w:rsidRDefault="008737CE" w:rsidP="00FA733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15 дней со дня регистрации заявки для заявителей: </w:t>
      </w:r>
    </w:p>
    <w:p w:rsidR="00B46F8F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физических лиц с максимальной запрашиваемой мощностью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до 15 к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Вт вкл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ючительно (с учетом ранее разрешенной к присоединению мощности), по III категории надежности и использованием электроэнергии для бытовых и иных нужд, не связанных с осуществлением предпринимательской деятельности;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юридических лиц или индивидуальных предпринимателей с максимальной запрашиваемой мощностью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до 150 к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Вт вкл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ючительно (с учетом ранее разрешенной к присоединению мощности) по II или III категории надежности;</w:t>
      </w:r>
    </w:p>
    <w:p w:rsidR="008737CE" w:rsidRPr="008737CE" w:rsidRDefault="008737CE" w:rsidP="008737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 дней со дня регистрации заявки для прочих заявителей.</w:t>
      </w:r>
    </w:p>
    <w:p w:rsidR="008737CE" w:rsidRPr="00B46F8F" w:rsidRDefault="008737CE" w:rsidP="008737CE">
      <w:pPr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B46F8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  <w:lastRenderedPageBreak/>
        <w:br/>
      </w:r>
      <w:r w:rsidRPr="00B46F8F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 xml:space="preserve">Подача заявки в </w:t>
      </w:r>
      <w:proofErr w:type="spellStart"/>
      <w:r w:rsidRPr="00B46F8F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энергосбытовую</w:t>
      </w:r>
      <w:proofErr w:type="spellEnd"/>
      <w:r w:rsidRPr="00B46F8F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 xml:space="preserve"> компанию, заключение договора с </w:t>
      </w:r>
      <w:proofErr w:type="spellStart"/>
      <w:r w:rsidRPr="00B46F8F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энергосбытом</w:t>
      </w:r>
      <w:proofErr w:type="spellEnd"/>
    </w:p>
    <w:p w:rsidR="008737CE" w:rsidRPr="00B46F8F" w:rsidRDefault="008737CE" w:rsidP="00FA73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F8F">
        <w:rPr>
          <w:rFonts w:ascii="Times New Roman" w:hAnsi="Times New Roman" w:cs="Times New Roman"/>
          <w:sz w:val="24"/>
          <w:szCs w:val="24"/>
        </w:rPr>
        <w:t>С даты заключения договора об осуществлении технологического присоединения, в случае если в заявке на технологическое присоединение в качестве вида договора, обеспечивающего продажу электрической энергии (мощности) на розничном рынке, который заявитель намеревается заключить, указан договор купли-продажи (поставки) электрической энергии (мощности), сетевая организация заполняет и направляет в адрес Заявителя подписанный проект договора на оказание услуг по передаче электрической энергии.</w:t>
      </w:r>
      <w:proofErr w:type="gramEnd"/>
      <w:r w:rsidRPr="00B46F8F">
        <w:rPr>
          <w:rFonts w:ascii="Times New Roman" w:hAnsi="Times New Roman" w:cs="Times New Roman"/>
          <w:sz w:val="24"/>
          <w:szCs w:val="24"/>
        </w:rPr>
        <w:br/>
      </w:r>
      <w:r w:rsidRPr="00B46F8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46F8F">
        <w:rPr>
          <w:rFonts w:ascii="Times New Roman" w:hAnsi="Times New Roman" w:cs="Times New Roman"/>
          <w:sz w:val="24"/>
          <w:szCs w:val="24"/>
        </w:rPr>
        <w:t xml:space="preserve">Сетевая организация в срок не позднее 2 рабочих дней с даты заключения договора об осуществлении технологического присоединения с заявителем обязана направить в письменном или электронном виде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в отношении </w:t>
      </w:r>
      <w:proofErr w:type="spellStart"/>
      <w:r w:rsidRPr="00B46F8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B46F8F">
        <w:rPr>
          <w:rFonts w:ascii="Times New Roman" w:hAnsi="Times New Roman" w:cs="Times New Roman"/>
          <w:sz w:val="24"/>
          <w:szCs w:val="24"/>
        </w:rPr>
        <w:t xml:space="preserve"> устройств, технологическое присоединение которых осуществляется, копию подписанного с заявителем договора об</w:t>
      </w:r>
      <w:proofErr w:type="gramEnd"/>
      <w:r w:rsidRPr="00B46F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F8F">
        <w:rPr>
          <w:rFonts w:ascii="Times New Roman" w:hAnsi="Times New Roman" w:cs="Times New Roman"/>
          <w:sz w:val="24"/>
          <w:szCs w:val="24"/>
        </w:rPr>
        <w:t>осуществлении технологического присоединения и копии документов заявителя, предусмотренных пунктом 34 Основных положений функционирования розничных рынков электрической энергии, имеющихся у сетевой организации на дату направления</w:t>
      </w:r>
      <w:r w:rsidRPr="00B46F8F">
        <w:rPr>
          <w:rFonts w:ascii="Times New Roman" w:hAnsi="Times New Roman" w:cs="Times New Roman"/>
          <w:sz w:val="24"/>
          <w:szCs w:val="24"/>
        </w:rPr>
        <w:br/>
      </w:r>
      <w:r w:rsidRPr="00B46F8F">
        <w:rPr>
          <w:rFonts w:ascii="Times New Roman" w:hAnsi="Times New Roman" w:cs="Times New Roman"/>
          <w:sz w:val="24"/>
          <w:szCs w:val="24"/>
        </w:rPr>
        <w:br/>
        <w:t>Заявитель начиная с даты заключения договора об осуществлении технологического присоединения вправе самостоятельно направить необходимые для заключения договора, обеспечивающего продажу электрической энергии (мощности) на розничном рынке, документы с приложением копии заключенного договора в адрес соответствующего субъекта розничного</w:t>
      </w:r>
      <w:proofErr w:type="gramEnd"/>
      <w:r w:rsidRPr="00B46F8F">
        <w:rPr>
          <w:rFonts w:ascii="Times New Roman" w:hAnsi="Times New Roman" w:cs="Times New Roman"/>
          <w:sz w:val="24"/>
          <w:szCs w:val="24"/>
        </w:rPr>
        <w:t xml:space="preserve"> рынка, с которым намеревается заключить договор, обеспечивающий продажу электрической энергии (мощности) на розничном рынке, в порядке, предусмотренном Основными положениями функционирования розничных рынков электрической энергии.</w:t>
      </w:r>
      <w:r w:rsidRPr="00B46F8F">
        <w:rPr>
          <w:rFonts w:ascii="Times New Roman" w:hAnsi="Times New Roman" w:cs="Times New Roman"/>
          <w:sz w:val="24"/>
          <w:szCs w:val="24"/>
        </w:rPr>
        <w:br/>
      </w:r>
      <w:r w:rsidRPr="00B46F8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46F8F">
        <w:rPr>
          <w:rFonts w:ascii="Times New Roman" w:hAnsi="Times New Roman" w:cs="Times New Roman"/>
          <w:sz w:val="24"/>
          <w:szCs w:val="24"/>
        </w:rPr>
        <w:t xml:space="preserve">Заявитель в течение 30 дней с даты получения от сетевой организации заполняет и подписывает проект договора на оказание услуг по передаче электрической энергии в отношении </w:t>
      </w:r>
      <w:proofErr w:type="spellStart"/>
      <w:r w:rsidRPr="00B46F8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B46F8F">
        <w:rPr>
          <w:rFonts w:ascii="Times New Roman" w:hAnsi="Times New Roman" w:cs="Times New Roman"/>
          <w:sz w:val="24"/>
          <w:szCs w:val="24"/>
        </w:rPr>
        <w:t xml:space="preserve"> устройств, технологическое присоединение которых осуществляется,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энергии, определенных в</w:t>
      </w:r>
      <w:proofErr w:type="gramEnd"/>
      <w:r w:rsidRPr="00B46F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F8F">
        <w:rPr>
          <w:rFonts w:ascii="Times New Roman" w:hAnsi="Times New Roman" w:cs="Times New Roman"/>
          <w:sz w:val="24"/>
          <w:szCs w:val="24"/>
        </w:rPr>
        <w:t>Правилах недискриминационного доступа к услугам по передаче электрической энергии и оказания этих услуг,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документов, подтверждающих полномочия лица, подписавшего</w:t>
      </w:r>
      <w:r w:rsidR="00FA7330">
        <w:rPr>
          <w:rFonts w:ascii="Times New Roman" w:hAnsi="Times New Roman" w:cs="Times New Roman"/>
          <w:sz w:val="24"/>
          <w:szCs w:val="24"/>
        </w:rPr>
        <w:t xml:space="preserve"> такой</w:t>
      </w:r>
      <w:r w:rsidRPr="00B46F8F">
        <w:rPr>
          <w:rFonts w:ascii="Times New Roman" w:hAnsi="Times New Roman" w:cs="Times New Roman"/>
          <w:sz w:val="24"/>
          <w:szCs w:val="24"/>
        </w:rPr>
        <w:t xml:space="preserve"> проект договора.</w:t>
      </w:r>
      <w:proofErr w:type="gramEnd"/>
      <w:r w:rsidRPr="00B46F8F">
        <w:rPr>
          <w:rFonts w:ascii="Times New Roman" w:hAnsi="Times New Roman" w:cs="Times New Roman"/>
          <w:sz w:val="24"/>
          <w:szCs w:val="24"/>
        </w:rPr>
        <w:br/>
      </w:r>
      <w:r w:rsidRPr="00B46F8F">
        <w:rPr>
          <w:rFonts w:ascii="Times New Roman" w:hAnsi="Times New Roman" w:cs="Times New Roman"/>
          <w:sz w:val="24"/>
          <w:szCs w:val="24"/>
        </w:rPr>
        <w:br/>
        <w:t xml:space="preserve">Договор на оказание услуг по передаче электрической энергии в отношении </w:t>
      </w:r>
      <w:proofErr w:type="spellStart"/>
      <w:r w:rsidRPr="00B46F8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B46F8F">
        <w:rPr>
          <w:rFonts w:ascii="Times New Roman" w:hAnsi="Times New Roman" w:cs="Times New Roman"/>
          <w:sz w:val="24"/>
          <w:szCs w:val="24"/>
        </w:rPr>
        <w:t xml:space="preserve"> устройств, технологическое присоединение которых осуществляется, считается заключенным с сетевой организацией </w:t>
      </w:r>
      <w:proofErr w:type="gramStart"/>
      <w:r w:rsidRPr="00B46F8F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B46F8F">
        <w:rPr>
          <w:rFonts w:ascii="Times New Roman" w:hAnsi="Times New Roman" w:cs="Times New Roman"/>
          <w:sz w:val="24"/>
          <w:szCs w:val="24"/>
        </w:rPr>
        <w:t xml:space="preserve"> подписанного заявителем экземпляра такого договора в сетевую организацию, но не ранее даты заключения договора об осуществлении технологического присоединения к электрическим сетям указанных </w:t>
      </w:r>
      <w:proofErr w:type="spellStart"/>
      <w:r w:rsidRPr="00B46F8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B46F8F">
        <w:rPr>
          <w:rFonts w:ascii="Times New Roman" w:hAnsi="Times New Roman" w:cs="Times New Roman"/>
          <w:sz w:val="24"/>
          <w:szCs w:val="24"/>
        </w:rPr>
        <w:t xml:space="preserve"> устройств.</w:t>
      </w:r>
    </w:p>
    <w:p w:rsidR="008737CE" w:rsidRDefault="008737CE" w:rsidP="008737CE"/>
    <w:p w:rsidR="008737CE" w:rsidRPr="00B46F8F" w:rsidRDefault="008737CE" w:rsidP="008737CE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B46F8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Работа по исполнению договора технологического присоединения</w:t>
      </w:r>
      <w:r w:rsidR="00B46F8F" w:rsidRPr="00B46F8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:</w:t>
      </w:r>
    </w:p>
    <w:p w:rsidR="008737CE" w:rsidRPr="008737CE" w:rsidRDefault="008737CE" w:rsidP="00FA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Исполнение условий договора по оплате услуг технологического присоединения.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об осуществлении технологического присоединения содержит обязанность одной из сторон при нарушении ею сроков осуществления мероприятий по технологическому присоединению уплатить другой стороне в течени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рабочих дней со дня наступления просрочки неустойку, рассчитанную как произведение 0,014 ставки рефинансирования Центрального банка Российской Федерации, установленной на дату заключения договора, и общего размера платы за технологическое присоединение по договору за каждый день просрочки.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Разработка заявителем и исполнителем проектной документации в пределах границ раздела по балансовой принадлежности.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этапе заявитель с привлечением проектной организации разрабатывает проект (схему) внешнего электроснабжения в пределах границ балансового принадлежности согласно техническим условиям. Проект электроснабжения разрабатывается согласно нормам проектирования.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Проверка сетевой организацией представленной заявителем проектной документации.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Сетевая организация, а также соответствующий субъект оперативно-диспетчерского управления, в случае если технические условия подлежат согласованию с таким субъектом оперативно-диспетчерского управления,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условий.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заявителя, а в случае если технические условия подлежат согласованию с соответствующим субъектом оперативно-диспетчерского управления, указанный срок не должен превышать 25 дней.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Согласование заявителем разработанной проектной документации в органе федерального государственного энергетического надзора.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 федерального государственного энергетического надзора проводит проверку документации на предмет соответствия требованиям норм, правил и стандартов, согласно приказу № 212 от 7.04.2008 ОБ УТВЕРЖДЕНИИ ПОРЯДКА ОРГАНИЗАЦИИ РАБОТ ПО ВЫДАЧЕ РАЗРЕШЕНИЙ НА ДОПУСК В ЭКСПЛУАТАЦИЮ ЭНЕРГОУСТАНОВОК (в ред. Приказа Минприроды РФ от 20.08.2008 N 182)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.1) Исполнение заявителем мероприятий в соответствии с техническими условиями и договором об осуществлении технологического присоединения.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согласования схемы электроснабжения заявитель приступает к реализации мероприятий в соответствии с техническими условиями и договором об осуществлении технологического присоединения. Сетевая организация выполняет свою часть технических условий, в пределах границ раздела по балансовой принадлежности.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завершения цикла работ, предусмотренных техническими условиями, заявитель направляет в сетевую организацию уведомление о готовности к присоединению в сроки определенные договором об осуществлении технологического присоединения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.2) Исполнение сетевой организацией мероприятий в соответствии с техническими условиями и договором об осуществлении технологического присоединения.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осуществления мероприятий по технологическому присоединению, который 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исчисляется со дня заключения договора и не может превышать: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случаях осуществления технологического присоединения к электрическим сетям классом напряжения до 20 кВ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составляет не более 300 метров в городах и поселках городского типа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более 500 метров в сельской местности и от сетевой организации не требуется выполнение работ по строительству (реконструкции) объектов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от существующих объектов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до присоединяемых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объектов электроэнергетики:</w:t>
      </w:r>
    </w:p>
    <w:p w:rsidR="008737CE" w:rsidRPr="008737CE" w:rsidRDefault="008737CE" w:rsidP="00FA733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15 рабочих дней (если в заявке не указан более продолжительный срок) для осуществления мероприятий по технологическому присоединению, отнесенных к обязанностям сетевой организации, - при временном технологическом присоединении;</w:t>
      </w:r>
    </w:p>
    <w:p w:rsidR="008737CE" w:rsidRPr="008737CE" w:rsidRDefault="008737CE" w:rsidP="00FA733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месяца - для заявителей, 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составляет до 670 к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Вт вкл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ючительно;</w:t>
      </w:r>
    </w:p>
    <w:p w:rsidR="008737CE" w:rsidRPr="008737CE" w:rsidRDefault="008737CE" w:rsidP="00FA733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 - для заявителей, 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составляет свыше 670 кВт;</w:t>
      </w:r>
    </w:p>
    <w:p w:rsidR="008737CE" w:rsidRPr="008737CE" w:rsidRDefault="008737CE" w:rsidP="00FA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иных случаях:</w:t>
      </w:r>
    </w:p>
    <w:p w:rsidR="008737CE" w:rsidRPr="008737CE" w:rsidRDefault="008737CE" w:rsidP="00FA733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рабочих дней (если в заявке не указан более продолжительный срок) - при временном технологическом присоединении заявителей,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которых являются передвижными и имеют максимальную мощность до 150 к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Вт вкл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ючительно, если расстояние от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энергопринимающего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 до существующих электрических сетей необходимого класса напряжения составляет не более 300 метров;</w:t>
      </w:r>
    </w:p>
    <w:p w:rsidR="008737CE" w:rsidRPr="008737CE" w:rsidRDefault="008737CE" w:rsidP="00FA733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месяцев - для заявителей, указанных в пунктах 12(1), 14 и 34 Правил технологического присоединения, если технологическое присоединение осуществляется к электрическим сетям, уровень напряжения которых составляет до 20 кВ включительно, и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составляет не более 300 метров в городах и поселках городского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и не более 500 метров в сельской местности;</w:t>
      </w:r>
    </w:p>
    <w:p w:rsidR="008737CE" w:rsidRPr="008737CE" w:rsidRDefault="008737CE" w:rsidP="00FA733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 - для заявителей, 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составляет менее 670 кВт, если более короткие сроки не предусмотрены инвестиционной программой соответствующей сетевой организации или соглашением сторон;</w:t>
      </w:r>
    </w:p>
    <w:p w:rsidR="008737CE" w:rsidRPr="008737CE" w:rsidRDefault="008737CE" w:rsidP="00FA733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года - для заявителей, 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составляет не менее 670 кВт, если иные сроки (но не более 4 лет) не предусмотрены инвестиционной программой соответствующей сетевой организации или соглашением сторон;</w:t>
      </w:r>
    </w:p>
    <w:p w:rsidR="008737CE" w:rsidRPr="008737CE" w:rsidRDefault="008737CE" w:rsidP="00FA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Проверка сетевой организацией выполнения заявителем технических условий и подписание актов.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Сетевая организация проводит осмотр присоединяемых электроустановок заявителя до распределительного устройства (пункта) заявителя (распределительного устройства трансформаторной подстанции, вводного устройства, вводного распределительного устройства, главного распределительного щита, узла учета) включительно.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Для проведения проверки выполнения технических условий, не подлежащих согласованию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заявитель представляет в сетевую организацию уведомление о выполнении технических условий с приложением следующих документов:</w:t>
      </w:r>
    </w:p>
    <w:p w:rsidR="008737CE" w:rsidRPr="008737CE" w:rsidRDefault="008737CE" w:rsidP="00FA733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сертификации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;к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обязательной);</w:t>
      </w:r>
    </w:p>
    <w:p w:rsidR="008737CE" w:rsidRPr="008737CE" w:rsidRDefault="008737CE" w:rsidP="00FA733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информацию о результатах проведения пусконаладочных работ, приемо-сдаточных и иных испытаний;</w:t>
      </w:r>
    </w:p>
    <w:p w:rsidR="008737CE" w:rsidRPr="008737CE" w:rsidRDefault="008737CE" w:rsidP="00FA733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нормальные (временные нормальные) схемы электрических соединений объекта электроэнергетики, в том числе однолинейная схема электрических соединений (электроустановки).</w:t>
      </w:r>
    </w:p>
    <w:p w:rsidR="008737CE" w:rsidRPr="008737CE" w:rsidRDefault="008737CE" w:rsidP="00FA733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проведения проверки выполнения технических условий, подлежащих согласованию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заявитель представляет в сетевую организацию уведомление о выполнении технических условий с приложением следующих документов в дополнение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вышеуказанным:</w:t>
      </w:r>
    </w:p>
    <w:p w:rsidR="008737CE" w:rsidRPr="008737CE" w:rsidRDefault="008737CE" w:rsidP="00FA733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технических параметрах и характеристиках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и объектов электроэнергетики, входящих в их состав оборудования и устройств релейной защиты и автоматики, средств диспетчерского и технологического управления;</w:t>
      </w:r>
    </w:p>
    <w:p w:rsidR="008737CE" w:rsidRPr="008737CE" w:rsidRDefault="008737CE" w:rsidP="00FA733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проведение проверки устройств (комплексов) релейной защиты и автоматики и их готовность к вводу в работу, настройку устройств (комплексов) релейной защиты и автоматики в соответствии с требованиями субъекта оперативно-диспетчерского управления, включая принципиальные, функционально-логические схемы, схемы программируемой логики, данные по конфигурированию и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параметрированию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(комплексов) релейной защиты и автоматики, исполнительные схемы;</w:t>
      </w:r>
      <w:proofErr w:type="gramEnd"/>
    </w:p>
    <w:p w:rsidR="008737CE" w:rsidRPr="008737CE" w:rsidRDefault="008737CE" w:rsidP="00FA733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выполнение требований к системам телемеханики и связи, схемы организации оперативно-диспетчерской и технологической связи, протоколы испытаний каналов, устройств и сре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язи;</w:t>
      </w:r>
    </w:p>
    <w:p w:rsidR="008737CE" w:rsidRPr="008737CE" w:rsidRDefault="008737CE" w:rsidP="00FA733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подписанный соответственно заявителем или сетевой организацией, подтверждающий выполнение мероприятий по вводу в работу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энергопринимающего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или объекта электроэнергетики, включая проведение пусконаладочных работ, приемо-сдаточных и иных испытаний.</w:t>
      </w:r>
    </w:p>
    <w:p w:rsidR="008737CE" w:rsidRPr="008737CE" w:rsidRDefault="008737CE" w:rsidP="00FA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10 дней с момента подачи уведомления о готовности к присоединению, сетевая организация должна проверить выполнение заявителем технических условий, провести осмотр построенных сетевых объектов, а при участии представителей субъекта оперативно-диспетчерского управления – 25 дней.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Сетевая организация рассматривает представленные заявителем документы и осуществляет осмотр электроустановок заявителя. По результатам осмотра электроустановок заявителя сетевая организация составляет акт осмотра (обследования) электроустановки.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мероприятий по проверке выполнения заявителем технических условий сетевая организация в 3-дневный срок составляет и направляет для подписания заявителю подписанный со своей стороны в 2 экземплярах акт о выполнении технических условий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условий.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 осмотра (обследования) электроустановки. Повторный осмотр электроустановки заявителя осуществляется не позднее 3 рабочих дней после получения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него уведомления об устранении замечаний с приложением информации о принятых мерах по их устранению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 о выполнении технических условий оформляется после устранения выявленных нарушений.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итогам проверок, проводимых сетевой организацией, составляются и подписываются акты:</w:t>
      </w:r>
    </w:p>
    <w:p w:rsidR="008737CE" w:rsidRPr="008737CE" w:rsidRDefault="008737CE" w:rsidP="008737C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 (обследования) электроустановки заявителя;</w:t>
      </w:r>
    </w:p>
    <w:p w:rsidR="008737CE" w:rsidRPr="008737CE" w:rsidRDefault="008737CE" w:rsidP="008737C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допуска приборов учета в эксплуатацию;</w:t>
      </w:r>
    </w:p>
    <w:p w:rsidR="008737CE" w:rsidRPr="008737CE" w:rsidRDefault="008737CE" w:rsidP="008737C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разграничения границ балансовой принадлежности сторон;</w:t>
      </w:r>
    </w:p>
    <w:p w:rsidR="008737CE" w:rsidRPr="008737CE" w:rsidRDefault="008737CE" w:rsidP="008737C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разграничения эксплуатационной ответственности сторон;</w:t>
      </w:r>
    </w:p>
    <w:p w:rsidR="008737CE" w:rsidRPr="008737CE" w:rsidRDefault="008737CE" w:rsidP="008737C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 выполнении технических условий.</w:t>
      </w:r>
    </w:p>
    <w:p w:rsidR="008737CE" w:rsidRDefault="008737CE" w:rsidP="00FA73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Фактическое присоединение (коммутационные аппараты отключены) и подписание актов.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проверки заявителем технических условий, сетевая организация осуществляет комплекс технических и организационных мероприятий, обеспечивающих физическое соединение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или энергоустановок потребителя и электроустановок сетевой организации в точке балансового разграничения без фактической подачи напряжения и мощности на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заявителя.</w:t>
      </w:r>
    </w:p>
    <w:p w:rsidR="008737CE" w:rsidRDefault="008737CE" w:rsidP="008737CE"/>
    <w:p w:rsidR="008737CE" w:rsidRPr="00B46F8F" w:rsidRDefault="008737CE" w:rsidP="00B46F8F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B46F8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Фактическая подача напряжения на </w:t>
      </w:r>
      <w:proofErr w:type="spellStart"/>
      <w:r w:rsidRPr="00B46F8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энергопринимающее</w:t>
      </w:r>
      <w:proofErr w:type="spellEnd"/>
      <w:r w:rsidRPr="00B46F8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устройство заявителя</w:t>
      </w:r>
    </w:p>
    <w:p w:rsidR="008737CE" w:rsidRPr="008737CE" w:rsidRDefault="008737CE" w:rsidP="00FA733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заявителем акта допуска (при необходимости), сетевая организация на основании уведомления от заявителя осуществляет комплекс технических и организационных мероприятий, обеспечивающих физическое соединение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в точке</w:t>
      </w:r>
      <w:r w:rsidR="009F2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балансового разграничения.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для допуска в эксплуатацию установленного в процессе технологического присоединения прибора учета электрической энергии сетевая организация обязана в сроки и в порядке, которые предусмотрены разделом X Основных положений функционирования розничных рынков электрической энергии, обеспечить приглашение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(мощности)), либо субъекта розничного рынка, с которым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заключен указанный договор, для участия в процедуре допуска в эксплуатацию установленного в процессе технологического присоединения прибора учета электрической энергии, а также иных субъектов розничных 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рынков, приглашение которых для допуска в эксплуатацию прибора учета является обязательным в соответствии с Основными положениями функционирования розничных рынков</w:t>
      </w:r>
      <w:r w:rsidR="009F2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</w:t>
      </w:r>
      <w:r w:rsidR="009F2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окончании осуществления мероприятий по технологическому присоединению стороны составляют следующие документы:</w:t>
      </w:r>
    </w:p>
    <w:p w:rsidR="008737CE" w:rsidRPr="008737CE" w:rsidRDefault="008737CE" w:rsidP="008737C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 осуществлении технологического присоединения;</w:t>
      </w:r>
    </w:p>
    <w:p w:rsidR="008737CE" w:rsidRPr="008737CE" w:rsidRDefault="008737CE" w:rsidP="008737C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разграничения границ балансовой принадлежности сторон;</w:t>
      </w:r>
    </w:p>
    <w:p w:rsidR="008737CE" w:rsidRPr="008737CE" w:rsidRDefault="008737CE" w:rsidP="008737C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разграничения эксплуатационной ответственности сторон;</w:t>
      </w:r>
    </w:p>
    <w:p w:rsidR="008737CE" w:rsidRPr="008737CE" w:rsidRDefault="008737CE" w:rsidP="008737C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согласования технологической и (или) аварийной брони (при необходимости).</w:t>
      </w:r>
    </w:p>
    <w:p w:rsidR="008737CE" w:rsidRDefault="008737CE" w:rsidP="00FA73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присоединения, акта разграничения границ балансовой принадлежности сторон, акта разграничения эксплуатационной ответственности сторон, а также акта согласования технологической и (или) аварийной брони направляет в письменном или электронном виде копии указанных актов в адрес субъекта розничного рынка, с которым заявителем заключен договор энергоснабжения (купли-продажи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(поставки) электрической энергии (мощности) в отношении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технологическое присоединение которых осуществляется, либо в случае отсутствия информации у сетевой организации о заключении такого договора на дату отправления -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(мощности).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формах.</w:t>
      </w:r>
    </w:p>
    <w:p w:rsidR="009F276B" w:rsidRPr="009F276B" w:rsidRDefault="009F276B" w:rsidP="008737CE">
      <w:pPr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9F276B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Особенности процесса технологического присоединения</w:t>
      </w:r>
    </w:p>
    <w:p w:rsidR="008737CE" w:rsidRPr="008737CE" w:rsidRDefault="008737CE" w:rsidP="008737C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технологического присоединения </w:t>
      </w:r>
      <w:proofErr w:type="spellStart"/>
      <w:r w:rsidRPr="0087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устройств потребителей посредством перераспределения максимальной мощности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(за исключением юридических лиц и индивидуальных предпринимателей в целях технологического присоединения по одному источнику электроснабжения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максимальная мощность которых составляет до 150 кВт включительно, заявителей в целях временного технологического присоединения и физические лица в целях технологического присоединения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максимальная мощность которых составляет до 15 кВт включительно, а также заявителей,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которых присоединены к объектам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соответствующим критериям отнесения объектов к единой национальной (общероссийской) электрической сети, и заявителей, не внесших плату за технологическое присоединение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либо внесших такую плату не в полном объеме), имеющие на праве собственности или на ином законном основании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в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иными владельцами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снизить объем максимальной мощности (избыток, реализованный потенциал энергосбережения и др.) собственных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 одновременным перераспределением объема снижения максимальной мощности в пользу иных владельцев от объема максимальной мощности, указанной в документах о технологическом присоединении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заявителя, в пределах действия соответствующего центра питания (при осуществлении перераспределения максимальной мощности в электрических сетях классом напряжения от 0,4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35 кВ центром питания считается питающая подстанция с классом напряжения 35 кВ,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подстанции, к которому осуществлено технологическое присоединение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лица, перераспределяющего свою максимальную мощность). При этом потребители электрической энергии, энергоснабжение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осуществляется по третьей категории надежности электроснабжения, не вправе перераспределять свою максимальную мощность в пользу потребителей, энергоснабжение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осуществляется по первой или второй категориям надежности электроснабжения.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заключившие соглашение о перераспределении максимальной мощности между принадлежащими им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энергопринимающими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устройствами, направляют уведомление, подписанное сторонами соглашения о перераспределении мощности, сетевой организации, к объектам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которой ранее были в установленном порядке присоединены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лица, намеревающегося перераспределить свою максимальную мощность.</w:t>
      </w:r>
      <w:proofErr w:type="gramEnd"/>
    </w:p>
    <w:p w:rsidR="009F276B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уведомлении указываются наименования и реквизиты сторон соглашения о перераспределении мощности, центр питания, к которому осуществлено технологическое присоединение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лица, намеревающегося перераспределить свою максимальную мощность, местонахождение этих устройств (электрических сетей) и объем перераспределяемой мощности. 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прилагаются: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технических условий, выданных лицу, 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которого перераспределяется;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акта об осуществлении технологического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;з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технологическое присоединение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лица, в пользу которого предполагается перераспределить избыток максимальной мощности;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 копия заключенного соглашения о перераспределении мощности.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и документов, прилагаемых к уведомлению, технологическое присоединение посредством перераспределения мощности не осуществляется.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перераспределение объема максимальной мощности нескольких лиц в пользу одного лица в пределах действия одного центра питания.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в течение 5 рабочих дней со дня получения уведомления направляет его копию, а также копии приложенных к нему документов субъекту оперативно-диспетчерского управления в следующих случаях: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условия, которые сетевая организация должна выдать лицу, в пользу которого предполагается перераспределить максимальную мощность, в соответствии с Правилами технологического присоединения подлежат согласованию с субъектом оперативно-диспетчерского управления;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условия, ранее выданные лицу, 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которого перераспределяется, в соответствии с Правилами технологического присоединения были согласованы с субъектом оперативно-диспетчерского управления.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соглашении о перераспределении мощности предусматриваются следующие обязательства сторон: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в полном объеме мероприятия по технологическому присоединению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предусмотренные техническими условиями, выданными сетевой организацией лицу, 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которого перераспределяется, а также лицу, в пользу которого осуществляется перераспределение мощности;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изменения и (или) подписывать новые документы о технологическом присоединении, фиксирующие объем максимальной мощности после ее перераспределения (технические условия, акт об осуществлении технологического присоединения), а также документы, определяющие порядок взаимодействия сторон соглашения о перераспределении мощности с сетевой организацией, до осуществления фактического технологического присоединения лица, в пользу которого перераспределяется максимальная мощность.</w:t>
      </w:r>
      <w:proofErr w:type="gramEnd"/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осуществления мероприятий по технологическому присоединению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лиц, в пользу которых предполагается перераспределить максимальную мощность, при технологическом присоединении таких лиц к электрическим сетям классом напряжения до 20 кВ включительно, если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составляет не более 300 метров в городах и поселках городского типа и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(реконструкции) объектов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от существующих объектов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сетевой организации до присоединяемых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потребителя и (или) объектов электроэнергетики, не может превышать: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 дней - для заявителей, 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составляет до 670 кВт;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 - для заявителей, 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составляет свыше 670 кВт.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необходимо выполнить работы по строительству (реконструкции) объектов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мероприятия по технологическому присоединению выполняются сетевой организацией в сроки, установленные разделом «III. Работа по исполнению договора» пунктом д.2) процедуры технологического присоединения.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выполнения в полном объеме технических условий лицом, максимальная мощность которого перераспределяется, а также лицом, в пользу которого осуществляется перераспределение мощности, присоединение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лица, в пользу которого перераспределена максимальная мощность, не производится.</w:t>
      </w:r>
      <w:proofErr w:type="gramEnd"/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желающие перераспределить максимальную мощность, принадлежащих им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вправе представить в сетевую организацию, к объектам которой непосредственно технологически присоединены соответствующие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заявление о намерении перераспределить 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максимальную мощность принадлежащих им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в пользу иных лиц.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заинтересованное в перераспределении в свою пользу максимальной мощности других лиц, вправе обратиться в сетевую организацию за информацией о лицах, которые намереваются осуществить перераспределение максимальной мощности принадлежащих им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в пользу иных лиц.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поступила заявка на технологическое присоединение посредством перераспределения максимальной мощности, сетевая организация в 30-дневный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проекту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уведомляет заявителя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заявления об установлении платы с приложенными к нему материалами в уполномоченный орган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 в области государственного регулирования тарифов в срок не позднее 3 рабочих дней со дня их направления.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исполнительной власти в области государственного регулирования тарифов утверждает плату за технологическое присоединение по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проекту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разбивкой стоимости по каждому мероприятию, необходимому для осуществления технологического присоединения по индивидуальному проекту, в течение 30 рабочих дней со дня поступления заявления об установлении платы.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технические условия подлежат согласованию с соответствующим субъектом оперативно-диспетчерского управления, срок утверждения платы за технологическое присоединение по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проекту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уполномоченным органом исполнительной власти в области государственного регулирования тарифов. При этом указанный срок не может превышать 45 рабочих дней.</w:t>
      </w:r>
    </w:p>
    <w:p w:rsidR="008737CE" w:rsidRPr="008737CE" w:rsidRDefault="008737CE" w:rsidP="00FA7330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отказа потребителей электрической энергии от максимальной мощности в пользу сетевой организации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(за исключением лиц в целях временного технологического присоединения), имеющие на праве собственности или ином законном основании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в отношении которых в установленном порядке осуществлялось фактическое технологическое присоединение, вправе снизить объем максимальной мощности (избыток, реализованный потенциал энергосбережения и др.) собственных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 одновременным перераспределением объема снижения максимальной мощности в пользу сетевой организации от объема максимальной мощности, указанной в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технологическом присоединении.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уменьшения максимальной мощности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заявителем в адрес сетевой организации, к объектам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которой присоединены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направляется заявка об уменьшении максимальной мощности.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об уменьшении максимальной мощности указываются: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реквизиты заявителя;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этих устройств (электрических сетей);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максимальной мощности;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мощности, на который уменьшается максимальная мощность.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заявке прилагаются копии документов о технологическом присоединении.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в течение 5 рабочих дней со дня получения заявки на уменьшение максимальной мощности направляет копию заявки, а также копии приложенных к ней документов субъекту оперативно-диспетчерского управления в случае, если ранее выданные заявителю технические условия подлежат согласованию с таким субъектом.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при обращении заявителей (за исключением лиц в целях временного технологического присоединения), имеющие на праве собственности или ином законном основании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устройства, в отношении которых в установленном порядке осуществлялось фактическое технологическое присоединение, в течение 30 дней со дня такого обращения обязана направить этим заявителям: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об уменьшении максимальной мощности, предусматривающее обязательства сторон этого соглашения по подписанию документов о технологическом присоединении, фиксирующих объем максимальной мощности после ее уменьшения, а также по внесению изменений в иные документы, предусматривающие взаимодействие сетевой организации и заявителя (при наличии);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внесенных в технические условия изменениях, содержащих сведения о величине максимальной мощности объектов заявителя после ее уменьшения в связи с отказом в пользу сетевой организации, мероприятиях по перераспределению максимальной мощности по точкам присоединения, мероприятиях по установке (замене) устройств, обеспечивающих контроль величины максимальной мощности для снижения ее величины в объемах, предусмотренных соглашением о перераспределении мощности, а также мероприятиях по подключению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под действие аппаратуры противоаварийной и режимной автоматики.</w:t>
      </w:r>
    </w:p>
    <w:p w:rsidR="008737CE" w:rsidRPr="008737CE" w:rsidRDefault="008737CE" w:rsidP="00FA7330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технологического присоединения объектов </w:t>
      </w:r>
      <w:proofErr w:type="spellStart"/>
      <w:r w:rsidRPr="0087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хозяйства смежных сетевых организаций</w:t>
      </w:r>
    </w:p>
    <w:p w:rsidR="008737CE" w:rsidRPr="008737CE" w:rsidRDefault="008737CE" w:rsidP="00FA733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обязана подать заявку на технологическое присоединение к сетям смежной сетевой организации в случаях, если: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потребителей, присоединенных к ее сетям, превышает значения максимальной мощности,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максимальных мощностей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потребителей, присоединенных к ее сетям, и объем заявленной мощности присоединяемых объектов, указанный в заключенных договорах на технологическое присоединение к ее сетевым объектам, превышает объем максимальной мощности,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организаций, при условии, что полное использование потребляемой (генерирующей) мощности всех ранее присоединенных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вновь присоединяемых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(с учетом ранее выданных технических условий, срок действия которых не истек) может привести к загрузке объектов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с превышением значений, определенных техническими регламентами или иными обязательными требованиями;</w:t>
      </w:r>
    </w:p>
    <w:p w:rsidR="008737CE" w:rsidRPr="008737CE" w:rsidRDefault="008737CE" w:rsidP="00FA7330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присоединения объектов заявителя установлена необходимость усиления электрической сети смежных сетевых организаций и (или) установки 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нового оборудования на принадлежащих таким лицам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устройствах и (или) генерирующих объектах.</w:t>
      </w:r>
    </w:p>
    <w:p w:rsidR="008737CE" w:rsidRPr="008737CE" w:rsidRDefault="008737CE" w:rsidP="008737CE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опосредованного технологического присоединения (посредством перераспределения максимальной мощности) к электрическим сетям организации, не осуществляющей оказание услуг по передачи электрической энергии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такого вида технологического присоединения регламентирована требованиями п.40(4)-40(10) Правил технологического присоединения, утвержденных постановлением Правительства РФ от 27.12.2004 № 861.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опосредованного присоединения посредством перераспределения максимальной мощности:</w:t>
      </w:r>
    </w:p>
    <w:p w:rsidR="008737CE" w:rsidRPr="008737CE" w:rsidRDefault="009F276B" w:rsidP="009F276B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737CE"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Потребителя, к электрическим сетям которого планируется присоединить </w:t>
      </w:r>
      <w:proofErr w:type="spellStart"/>
      <w:r w:rsidR="008737CE"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="008737CE"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должен быть технологически присоединен к электрическим сетям Сетевой организации в установленном порядке до 1 января 2015 г.;</w:t>
      </w:r>
    </w:p>
    <w:p w:rsidR="008737CE" w:rsidRPr="008737CE" w:rsidRDefault="009F276B" w:rsidP="009F276B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737CE"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мощность, перераспределяемая Потребителем в пользу Заявителя, не должна превышать величину максимальной мощности </w:t>
      </w:r>
      <w:proofErr w:type="spellStart"/>
      <w:r w:rsidR="008737CE"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8737CE"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Потребителя, разрешенной к присоединению к электрическим сетям сетевой организации.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действий: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  Потребитель, к электрическим сетям которого планируется присоединить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совместно с Заявителем заключают соглашение о перераспределении мощности между принадлежащими им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энергопринимающими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 в рамках опосредованного присоединения;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2.   Стороны опосредованного присоединения посредством перераспределения уведомляют сетевую организацию, к электрическим сетям которой присоединен объект Потребителя.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направления уведомления: не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дней до планируемой даты фактического присоединения объекта Заявителя к электрическим сетям Потребителя.</w:t>
      </w:r>
    </w:p>
    <w:p w:rsidR="008737CE" w:rsidRPr="008737CE" w:rsidRDefault="008737CE" w:rsidP="008737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содержит:</w:t>
      </w:r>
    </w:p>
    <w:p w:rsidR="008737CE" w:rsidRPr="008737CE" w:rsidRDefault="008737CE" w:rsidP="008737C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сторон опосредованного присоединения;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местонахождение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опосредованного присоединения.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прилагаются: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технических условий, выданных Потребителю;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технических условий, выданных Потребителем Заявителю;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заключенного между сторонами опосредованного присоединения соглашения о перераспределении мощности;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соглашении предусматриваются следующие условия: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перераспределяемой мощности;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компенсации сторонами опосредованного присоединения потерь электрической энергии в электрических сетях Потребителя.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3.  Сетевая организация осуществляет согласование величины перераспределяемой максимальной мощности.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согласования: в течение 3 рабочих дней со дня получения уведомления и документов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 Потребитель осуществляет деятельность по технологическому присоединению, руководствуясь положениями Правил технологическом 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присоединении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предусмотренными в отношении сетевых организаций (см. Порядок </w:t>
      </w:r>
      <w:r w:rsidR="009F276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ехнологического присоединения).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5.  По завершению процедуры опосредованного присоединения посредством перераспределения максимальной мощности: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информирует сбытовую организацию: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факте технологического присоединения объекта Заявителя и передает копии документов о технологическом присоединении:</w:t>
      </w:r>
    </w:p>
    <w:p w:rsidR="008737CE" w:rsidRPr="008737CE" w:rsidRDefault="008737CE" w:rsidP="009F276B">
      <w:pPr>
        <w:numPr>
          <w:ilvl w:val="2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Заявителем и сбытовой организации заключается (ратифицируется) договор энергоснабжения.</w:t>
      </w:r>
    </w:p>
    <w:p w:rsidR="008737CE" w:rsidRPr="008737CE" w:rsidRDefault="008737CE" w:rsidP="009F276B">
      <w:pPr>
        <w:numPr>
          <w:ilvl w:val="2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 информирования и направления документов в сбытовую организацию: не позднее 2 рабочих дней со дня подписания Заявителем и Потребителем акта об осуществлении технологического присоединения.</w:t>
      </w:r>
    </w:p>
    <w:p w:rsidR="008737CE" w:rsidRPr="008737CE" w:rsidRDefault="008737CE" w:rsidP="009F27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направляет в сетевую организацию: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о технологическом присоединении </w:t>
      </w:r>
      <w:proofErr w:type="spell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в рамках опосредованного присоединения;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переоформление документов о технологическом присоединении (</w:t>
      </w:r>
      <w:proofErr w:type="gramStart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Памятку по переоформлению документов);</w:t>
      </w:r>
    </w:p>
    <w:p w:rsidR="008737CE" w:rsidRPr="008737CE" w:rsidRDefault="008737CE" w:rsidP="009F276B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направления документов в сетевую организацию: в течение 7 дней со дня фактического присоединения</w:t>
      </w:r>
    </w:p>
    <w:p w:rsidR="008737CE" w:rsidRPr="008737CE" w:rsidRDefault="008737CE" w:rsidP="009F276B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7CE" w:rsidRPr="008737CE" w:rsidRDefault="008737CE" w:rsidP="008737CE">
      <w:pPr>
        <w:rPr>
          <w:b/>
          <w:sz w:val="28"/>
          <w:szCs w:val="28"/>
        </w:rPr>
      </w:pPr>
    </w:p>
    <w:sectPr w:rsidR="008737CE" w:rsidRPr="008737CE" w:rsidSect="00FA7330">
      <w:pgSz w:w="11906" w:h="16838"/>
      <w:pgMar w:top="142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CBC"/>
    <w:multiLevelType w:val="multilevel"/>
    <w:tmpl w:val="2D0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610C3"/>
    <w:multiLevelType w:val="multilevel"/>
    <w:tmpl w:val="7E52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D16C6"/>
    <w:multiLevelType w:val="multilevel"/>
    <w:tmpl w:val="9BB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A3EF0"/>
    <w:multiLevelType w:val="multilevel"/>
    <w:tmpl w:val="9E3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403E7"/>
    <w:multiLevelType w:val="multilevel"/>
    <w:tmpl w:val="BEEA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16D55"/>
    <w:multiLevelType w:val="multilevel"/>
    <w:tmpl w:val="3EF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F1BD4"/>
    <w:multiLevelType w:val="multilevel"/>
    <w:tmpl w:val="AC7A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7C43D4"/>
    <w:multiLevelType w:val="multilevel"/>
    <w:tmpl w:val="CB8E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304FC"/>
    <w:multiLevelType w:val="multilevel"/>
    <w:tmpl w:val="DA7C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A3F02"/>
    <w:multiLevelType w:val="multilevel"/>
    <w:tmpl w:val="C4C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E012EF"/>
    <w:multiLevelType w:val="multilevel"/>
    <w:tmpl w:val="12B8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C5A52"/>
    <w:multiLevelType w:val="multilevel"/>
    <w:tmpl w:val="6EA0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E149C"/>
    <w:multiLevelType w:val="multilevel"/>
    <w:tmpl w:val="D154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11C07"/>
    <w:multiLevelType w:val="multilevel"/>
    <w:tmpl w:val="E6B4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C55B6"/>
    <w:multiLevelType w:val="multilevel"/>
    <w:tmpl w:val="DE6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0B270A"/>
    <w:multiLevelType w:val="multilevel"/>
    <w:tmpl w:val="C002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82F64"/>
    <w:multiLevelType w:val="multilevel"/>
    <w:tmpl w:val="843A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F95674"/>
    <w:multiLevelType w:val="multilevel"/>
    <w:tmpl w:val="D380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95300A"/>
    <w:multiLevelType w:val="multilevel"/>
    <w:tmpl w:val="5C06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4629F5"/>
    <w:multiLevelType w:val="multilevel"/>
    <w:tmpl w:val="904C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905561"/>
    <w:multiLevelType w:val="multilevel"/>
    <w:tmpl w:val="822C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426A08"/>
    <w:multiLevelType w:val="multilevel"/>
    <w:tmpl w:val="0EB8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8A3E07"/>
    <w:multiLevelType w:val="multilevel"/>
    <w:tmpl w:val="CA4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851EB4"/>
    <w:multiLevelType w:val="multilevel"/>
    <w:tmpl w:val="474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7B1AB7"/>
    <w:multiLevelType w:val="multilevel"/>
    <w:tmpl w:val="0E90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B27D28"/>
    <w:multiLevelType w:val="multilevel"/>
    <w:tmpl w:val="51F6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E90220"/>
    <w:multiLevelType w:val="multilevel"/>
    <w:tmpl w:val="82EA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9413FC"/>
    <w:multiLevelType w:val="multilevel"/>
    <w:tmpl w:val="DC96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462971"/>
    <w:multiLevelType w:val="multilevel"/>
    <w:tmpl w:val="1D2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665BFB"/>
    <w:multiLevelType w:val="multilevel"/>
    <w:tmpl w:val="7B4C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961A82"/>
    <w:multiLevelType w:val="multilevel"/>
    <w:tmpl w:val="45B2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1A44B3"/>
    <w:multiLevelType w:val="multilevel"/>
    <w:tmpl w:val="749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F8465D"/>
    <w:multiLevelType w:val="multilevel"/>
    <w:tmpl w:val="6278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BF48D6"/>
    <w:multiLevelType w:val="multilevel"/>
    <w:tmpl w:val="03EA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2A2389"/>
    <w:multiLevelType w:val="multilevel"/>
    <w:tmpl w:val="DF2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281528"/>
    <w:multiLevelType w:val="multilevel"/>
    <w:tmpl w:val="8D3E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D5121B"/>
    <w:multiLevelType w:val="multilevel"/>
    <w:tmpl w:val="944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0"/>
  </w:num>
  <w:num w:numId="3">
    <w:abstractNumId w:val="12"/>
  </w:num>
  <w:num w:numId="4">
    <w:abstractNumId w:val="4"/>
  </w:num>
  <w:num w:numId="5">
    <w:abstractNumId w:val="19"/>
  </w:num>
  <w:num w:numId="6">
    <w:abstractNumId w:val="6"/>
  </w:num>
  <w:num w:numId="7">
    <w:abstractNumId w:val="17"/>
  </w:num>
  <w:num w:numId="8">
    <w:abstractNumId w:val="33"/>
  </w:num>
  <w:num w:numId="9">
    <w:abstractNumId w:val="13"/>
  </w:num>
  <w:num w:numId="10">
    <w:abstractNumId w:val="21"/>
  </w:num>
  <w:num w:numId="11">
    <w:abstractNumId w:val="25"/>
  </w:num>
  <w:num w:numId="12">
    <w:abstractNumId w:val="14"/>
  </w:num>
  <w:num w:numId="13">
    <w:abstractNumId w:val="28"/>
  </w:num>
  <w:num w:numId="14">
    <w:abstractNumId w:val="7"/>
  </w:num>
  <w:num w:numId="15">
    <w:abstractNumId w:val="11"/>
  </w:num>
  <w:num w:numId="16">
    <w:abstractNumId w:val="16"/>
  </w:num>
  <w:num w:numId="17">
    <w:abstractNumId w:val="34"/>
  </w:num>
  <w:num w:numId="18">
    <w:abstractNumId w:val="15"/>
  </w:num>
  <w:num w:numId="19">
    <w:abstractNumId w:val="31"/>
  </w:num>
  <w:num w:numId="20">
    <w:abstractNumId w:val="35"/>
  </w:num>
  <w:num w:numId="21">
    <w:abstractNumId w:val="18"/>
  </w:num>
  <w:num w:numId="22">
    <w:abstractNumId w:val="22"/>
  </w:num>
  <w:num w:numId="23">
    <w:abstractNumId w:val="20"/>
  </w:num>
  <w:num w:numId="24">
    <w:abstractNumId w:val="8"/>
  </w:num>
  <w:num w:numId="25">
    <w:abstractNumId w:val="1"/>
  </w:num>
  <w:num w:numId="26">
    <w:abstractNumId w:val="2"/>
  </w:num>
  <w:num w:numId="27">
    <w:abstractNumId w:val="9"/>
  </w:num>
  <w:num w:numId="28">
    <w:abstractNumId w:val="3"/>
  </w:num>
  <w:num w:numId="29">
    <w:abstractNumId w:val="30"/>
  </w:num>
  <w:num w:numId="30">
    <w:abstractNumId w:val="24"/>
  </w:num>
  <w:num w:numId="31">
    <w:abstractNumId w:val="5"/>
  </w:num>
  <w:num w:numId="32">
    <w:abstractNumId w:val="32"/>
  </w:num>
  <w:num w:numId="33">
    <w:abstractNumId w:val="23"/>
  </w:num>
  <w:num w:numId="34">
    <w:abstractNumId w:val="26"/>
  </w:num>
  <w:num w:numId="35">
    <w:abstractNumId w:val="36"/>
  </w:num>
  <w:num w:numId="36">
    <w:abstractNumId w:val="27"/>
  </w:num>
  <w:num w:numId="37">
    <w:abstractNumId w:val="0"/>
  </w:num>
  <w:num w:numId="3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4ACD"/>
    <w:rsid w:val="0001337F"/>
    <w:rsid w:val="0002685F"/>
    <w:rsid w:val="000819A8"/>
    <w:rsid w:val="000C208D"/>
    <w:rsid w:val="00142462"/>
    <w:rsid w:val="00145AA8"/>
    <w:rsid w:val="0017021F"/>
    <w:rsid w:val="0018415D"/>
    <w:rsid w:val="00186FA9"/>
    <w:rsid w:val="001B0BF6"/>
    <w:rsid w:val="001C0D07"/>
    <w:rsid w:val="001C4F55"/>
    <w:rsid w:val="00207E98"/>
    <w:rsid w:val="00275DB7"/>
    <w:rsid w:val="00283A71"/>
    <w:rsid w:val="002A5FE0"/>
    <w:rsid w:val="002C4080"/>
    <w:rsid w:val="0032563D"/>
    <w:rsid w:val="00334ACD"/>
    <w:rsid w:val="00352FB6"/>
    <w:rsid w:val="003A7444"/>
    <w:rsid w:val="003C6AE0"/>
    <w:rsid w:val="003D6C1C"/>
    <w:rsid w:val="00400F15"/>
    <w:rsid w:val="00466189"/>
    <w:rsid w:val="004720BC"/>
    <w:rsid w:val="004C0ABF"/>
    <w:rsid w:val="004E411D"/>
    <w:rsid w:val="004E4C2A"/>
    <w:rsid w:val="004E7DC4"/>
    <w:rsid w:val="0056328C"/>
    <w:rsid w:val="005B6260"/>
    <w:rsid w:val="005F7C37"/>
    <w:rsid w:val="00634FA7"/>
    <w:rsid w:val="006374DA"/>
    <w:rsid w:val="006542E3"/>
    <w:rsid w:val="006625EE"/>
    <w:rsid w:val="0066661C"/>
    <w:rsid w:val="00677A0F"/>
    <w:rsid w:val="006C122E"/>
    <w:rsid w:val="006C1E4D"/>
    <w:rsid w:val="006F1AFB"/>
    <w:rsid w:val="00721AD1"/>
    <w:rsid w:val="00747D7C"/>
    <w:rsid w:val="007B5CFB"/>
    <w:rsid w:val="00805141"/>
    <w:rsid w:val="00810719"/>
    <w:rsid w:val="00812A8A"/>
    <w:rsid w:val="00853E27"/>
    <w:rsid w:val="008737CE"/>
    <w:rsid w:val="008776D7"/>
    <w:rsid w:val="00881C37"/>
    <w:rsid w:val="009658F2"/>
    <w:rsid w:val="00975468"/>
    <w:rsid w:val="009C16B0"/>
    <w:rsid w:val="009D5401"/>
    <w:rsid w:val="009F276B"/>
    <w:rsid w:val="009F588F"/>
    <w:rsid w:val="00A36272"/>
    <w:rsid w:val="00A3750F"/>
    <w:rsid w:val="00A62C34"/>
    <w:rsid w:val="00A751A6"/>
    <w:rsid w:val="00B20B43"/>
    <w:rsid w:val="00B46F8F"/>
    <w:rsid w:val="00B575C2"/>
    <w:rsid w:val="00B876D9"/>
    <w:rsid w:val="00B94812"/>
    <w:rsid w:val="00BA5B42"/>
    <w:rsid w:val="00BC223D"/>
    <w:rsid w:val="00C24359"/>
    <w:rsid w:val="00C6154C"/>
    <w:rsid w:val="00C72345"/>
    <w:rsid w:val="00DB7B9C"/>
    <w:rsid w:val="00DC26F3"/>
    <w:rsid w:val="00E0688B"/>
    <w:rsid w:val="00E43F61"/>
    <w:rsid w:val="00E565A1"/>
    <w:rsid w:val="00F54565"/>
    <w:rsid w:val="00F630F5"/>
    <w:rsid w:val="00F64341"/>
    <w:rsid w:val="00FA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0F"/>
  </w:style>
  <w:style w:type="paragraph" w:styleId="3">
    <w:name w:val="heading 3"/>
    <w:basedOn w:val="a"/>
    <w:link w:val="30"/>
    <w:uiPriority w:val="9"/>
    <w:qFormat/>
    <w:rsid w:val="00334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4A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34A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34A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4A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4A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34AC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334ACD"/>
    <w:rPr>
      <w:color w:val="0000FF"/>
      <w:u w:val="single"/>
    </w:rPr>
  </w:style>
  <w:style w:type="character" w:customStyle="1" w:styleId="profileheader">
    <w:name w:val="profile_header"/>
    <w:basedOn w:val="a0"/>
    <w:rsid w:val="00334ACD"/>
  </w:style>
  <w:style w:type="character" w:customStyle="1" w:styleId="custom-nav-text">
    <w:name w:val="custom-nav-text"/>
    <w:basedOn w:val="a0"/>
    <w:rsid w:val="00334ACD"/>
  </w:style>
  <w:style w:type="paragraph" w:styleId="a4">
    <w:name w:val="Normal (Web)"/>
    <w:basedOn w:val="a"/>
    <w:uiPriority w:val="99"/>
    <w:semiHidden/>
    <w:unhideWhenUsed/>
    <w:rsid w:val="0033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20">
    <w:name w:val="fs-20"/>
    <w:basedOn w:val="a"/>
    <w:rsid w:val="0033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underline">
    <w:name w:val="text-underline"/>
    <w:basedOn w:val="a0"/>
    <w:rsid w:val="00334ACD"/>
  </w:style>
  <w:style w:type="paragraph" w:customStyle="1" w:styleId="my-0">
    <w:name w:val="my-0"/>
    <w:basedOn w:val="a"/>
    <w:rsid w:val="0033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primary">
    <w:name w:val="text-primary"/>
    <w:basedOn w:val="a"/>
    <w:rsid w:val="0033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tagreem">
    <w:name w:val="txt_agreem"/>
    <w:basedOn w:val="a0"/>
    <w:rsid w:val="00334ACD"/>
  </w:style>
  <w:style w:type="paragraph" w:styleId="a5">
    <w:name w:val="List Paragraph"/>
    <w:basedOn w:val="a"/>
    <w:uiPriority w:val="34"/>
    <w:qFormat/>
    <w:rsid w:val="005F7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2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7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6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7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6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35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9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FBF98-1995-449F-93D1-55E6143A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8913</Words>
  <Characters>50810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pto11</dc:creator>
  <cp:lastModifiedBy>pto11</cp:lastModifiedBy>
  <cp:revision>2</cp:revision>
  <dcterms:created xsi:type="dcterms:W3CDTF">2021-03-29T03:44:00Z</dcterms:created>
  <dcterms:modified xsi:type="dcterms:W3CDTF">2021-03-29T03:44:00Z</dcterms:modified>
</cp:coreProperties>
</file>